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item2.xml" ContentType="application/xml"/>
  <Override PartName="/customXml/_rels/item1.xml.rels" ContentType="application/vnd.openxmlformats-package.relationships+xml"/>
  <Override PartName="/customXml/_rels/item2.xml.rels" ContentType="application/vnd.openxmlformats-package.relationships+xml"/>
  <Override PartName="/customXml/_rels/item3.xml.rels" ContentType="application/vnd.openxmlformats-package.relationships+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76" w:before="0" w:after="0"/>
        <w:jc w:val="center"/>
        <w:rPr>
          <w:rFonts w:ascii="Arial" w:hAnsi="Arial" w:cs="Arial"/>
          <w:b/>
          <w:b/>
          <w:bCs/>
          <w:iCs/>
          <w:color w:val="FF0000"/>
          <w:sz w:val="20"/>
          <w:szCs w:val="20"/>
        </w:rPr>
      </w:pPr>
      <w:r>
        <w:rPr/>
        <w:drawing>
          <wp:inline distT="0" distB="0" distL="0" distR="0">
            <wp:extent cx="739140" cy="807720"/>
            <wp:effectExtent l="0" t="0" r="0" b="0"/>
            <wp:docPr id="1" name="Imagem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
                    <pic:cNvPicPr>
                      <a:picLocks noChangeAspect="1" noChangeArrowheads="1"/>
                    </pic:cNvPicPr>
                  </pic:nvPicPr>
                  <pic:blipFill>
                    <a:blip r:embed="rId2"/>
                    <a:stretch>
                      <a:fillRect/>
                    </a:stretch>
                  </pic:blipFill>
                  <pic:spPr bwMode="auto">
                    <a:xfrm>
                      <a:off x="0" y="0"/>
                      <a:ext cx="739140" cy="807720"/>
                    </a:xfrm>
                    <a:prstGeom prst="rect">
                      <a:avLst/>
                    </a:prstGeom>
                  </pic:spPr>
                </pic:pic>
              </a:graphicData>
            </a:graphic>
          </wp:inline>
        </w:drawing>
      </w:r>
    </w:p>
    <w:p>
      <w:pPr>
        <w:pStyle w:val="Normal"/>
        <w:spacing w:before="0" w:after="0"/>
        <w:jc w:val="center"/>
        <w:rPr>
          <w:rFonts w:ascii="Arial" w:hAnsi="Arial" w:cs="Arial"/>
          <w:b/>
          <w:b/>
          <w:bCs/>
          <w:sz w:val="20"/>
          <w:szCs w:val="20"/>
        </w:rPr>
      </w:pPr>
      <w:r>
        <w:rPr>
          <w:rFonts w:cs="Arial" w:ascii="Arial" w:hAnsi="Arial"/>
          <w:b/>
          <w:bCs/>
          <w:sz w:val="20"/>
          <w:szCs w:val="20"/>
        </w:rPr>
      </w:r>
    </w:p>
    <w:p>
      <w:pPr>
        <w:pStyle w:val="Normal"/>
        <w:spacing w:before="0" w:after="0"/>
        <w:jc w:val="center"/>
        <w:rPr>
          <w:rFonts w:ascii="Arial" w:hAnsi="Arial" w:cs="Arial"/>
          <w:b/>
          <w:b/>
          <w:bCs/>
          <w:sz w:val="20"/>
          <w:szCs w:val="20"/>
        </w:rPr>
      </w:pPr>
      <w:r>
        <w:rPr>
          <w:rFonts w:cs="Arial" w:ascii="Arial" w:hAnsi="Arial"/>
          <w:b/>
          <w:bCs/>
          <w:sz w:val="20"/>
          <w:szCs w:val="20"/>
        </w:rPr>
        <w:t>TERMO DE CONTRATO – CONTRATAÇÃO DIRETA (LEI Nº 14.133/21)</w:t>
      </w:r>
    </w:p>
    <w:p>
      <w:pPr>
        <w:pStyle w:val="Normal"/>
        <w:spacing w:before="0" w:after="0"/>
        <w:jc w:val="center"/>
        <w:rPr>
          <w:rFonts w:ascii="Arial" w:hAnsi="Arial" w:cs="Arial"/>
          <w:b/>
          <w:b/>
          <w:bCs/>
          <w:sz w:val="20"/>
          <w:szCs w:val="20"/>
        </w:rPr>
      </w:pPr>
      <w:r>
        <w:rPr>
          <w:rFonts w:cs="Arial" w:ascii="Arial" w:hAnsi="Arial"/>
          <w:b/>
          <w:bCs/>
          <w:sz w:val="20"/>
          <w:szCs w:val="20"/>
        </w:rPr>
        <w:t>PRESTAÇÃO DE SERVIÇOS SEM DEDICAÇÃO EXCLUSIVA DE MÃO DE OBRA</w:t>
      </w:r>
    </w:p>
    <w:p>
      <w:pPr>
        <w:pStyle w:val="Normal"/>
        <w:spacing w:lineRule="auto" w:line="276" w:before="0" w:after="0"/>
        <w:jc w:val="center"/>
        <w:rPr>
          <w:rFonts w:ascii="Arial" w:hAnsi="Arial" w:cs="Arial"/>
          <w:b/>
          <w:b/>
          <w:bCs/>
          <w:iCs/>
          <w:color w:val="FF0000"/>
          <w:sz w:val="20"/>
          <w:szCs w:val="20"/>
        </w:rPr>
      </w:pPr>
      <w:r>
        <w:rPr>
          <w:rFonts w:cs="Arial" w:ascii="Arial" w:hAnsi="Arial"/>
          <w:b/>
          <w:bCs/>
          <w:iCs/>
          <w:color w:val="FF0000"/>
          <w:sz w:val="20"/>
          <w:szCs w:val="20"/>
        </w:rPr>
      </w:r>
    </w:p>
    <w:p>
      <w:pPr>
        <w:pStyle w:val="Normal"/>
        <w:rPr>
          <w:rFonts w:ascii="Arial" w:hAnsi="Arial" w:cs="Arial"/>
          <w:sz w:val="20"/>
          <w:szCs w:val="20"/>
        </w:rPr>
      </w:pPr>
      <w:r>
        <w:rPr>
          <w:rFonts w:cs="Arial" w:ascii="Arial" w:hAnsi="Arial"/>
          <w:sz w:val="20"/>
          <w:szCs w:val="20"/>
        </w:rPr>
      </w:r>
    </w:p>
    <w:p>
      <w:pPr>
        <w:pStyle w:val="Normal"/>
        <w:spacing w:lineRule="auto" w:line="360" w:before="0" w:after="120"/>
        <w:ind w:left="4253" w:right="-15" w:hanging="0"/>
        <w:jc w:val="both"/>
        <w:rPr>
          <w:rFonts w:ascii="Arial" w:hAnsi="Arial" w:cs="Arial"/>
          <w:b/>
          <w:b/>
          <w:color w:val="FF0000"/>
          <w:sz w:val="20"/>
          <w:szCs w:val="20"/>
        </w:rPr>
      </w:pPr>
      <w:r>
        <w:rPr>
          <w:rFonts w:cs="Arial" w:ascii="Arial" w:hAnsi="Arial"/>
          <w:b/>
          <w:sz w:val="20"/>
          <w:szCs w:val="20"/>
        </w:rPr>
        <w:t xml:space="preserve">CONTRATO ADMINISTRATIVO Nº </w:t>
      </w:r>
      <w:r>
        <w:rPr>
          <w:rFonts w:cs="Arial" w:ascii="Arial" w:hAnsi="Arial"/>
          <w:b/>
          <w:color w:val="FF0000"/>
          <w:sz w:val="20"/>
          <w:szCs w:val="20"/>
        </w:rPr>
        <w:t>......../....</w:t>
      </w:r>
      <w:r>
        <w:rPr>
          <w:rFonts w:cs="Arial" w:ascii="Arial" w:hAnsi="Arial"/>
          <w:b/>
          <w:sz w:val="20"/>
          <w:szCs w:val="20"/>
        </w:rPr>
        <w:t xml:space="preserve">, QUE FAZEM ENTRE SI A UNIÃO, POR INTERMÉDIO DA ESCOLA DE SARGENTO DAS ARMAS E A EMPRESA </w:t>
      </w:r>
      <w:r>
        <w:rPr>
          <w:rFonts w:cs="Arial" w:ascii="Arial" w:hAnsi="Arial"/>
          <w:b/>
          <w:color w:val="FF0000"/>
          <w:sz w:val="20"/>
          <w:szCs w:val="20"/>
        </w:rPr>
        <w:t xml:space="preserve">.............................................................  </w:t>
      </w:r>
    </w:p>
    <w:p>
      <w:pPr>
        <w:pStyle w:val="Normal"/>
        <w:spacing w:lineRule="auto" w:line="276" w:before="120" w:after="120"/>
        <w:jc w:val="both"/>
        <w:rPr>
          <w:rFonts w:ascii="Arial" w:hAnsi="Arial" w:cs="Arial"/>
          <w:sz w:val="20"/>
          <w:szCs w:val="20"/>
        </w:rPr>
      </w:pPr>
      <w:r>
        <w:rPr>
          <w:rFonts w:cs="Arial" w:ascii="Arial" w:hAnsi="Arial"/>
          <w:i/>
          <w:iCs/>
          <w:color w:val="000000"/>
          <w:sz w:val="20"/>
          <w:szCs w:val="20"/>
        </w:rPr>
        <w:t xml:space="preserve">A União </w:t>
      </w:r>
      <w:r>
        <w:rPr>
          <w:rFonts w:cs="Arial" w:ascii="Arial" w:hAnsi="Arial"/>
          <w:color w:val="000000"/>
          <w:sz w:val="20"/>
          <w:szCs w:val="20"/>
        </w:rPr>
        <w:t xml:space="preserve"> por intermédio da Escola de Sargento das Armas, com sede na Av Sete de Setembro, na cidade de Três Corações</w:t>
      </w:r>
      <w:r>
        <w:rPr>
          <w:rFonts w:cs="Arial" w:ascii="Arial" w:hAnsi="Arial"/>
          <w:sz w:val="20"/>
          <w:szCs w:val="20"/>
        </w:rPr>
        <w:t xml:space="preserve">/Estado MG, inscrito(a) no CNPJ sob o nº </w:t>
      </w:r>
      <w:r>
        <w:rPr>
          <w:rFonts w:cs="Arial" w:ascii="Arial" w:hAnsi="Arial"/>
          <w:color w:val="000000"/>
          <w:sz w:val="20"/>
          <w:szCs w:val="20"/>
        </w:rPr>
        <w:t>09.575.541/0002-01,</w:t>
      </w:r>
      <w:r>
        <w:rPr>
          <w:rFonts w:cs="Arial" w:ascii="Arial" w:hAnsi="Arial"/>
          <w:sz w:val="20"/>
          <w:szCs w:val="20"/>
        </w:rPr>
        <w:t xml:space="preserve"> neste ato representado pelo </w:t>
      </w:r>
      <w:r>
        <w:rPr>
          <w:rFonts w:cs="Arial" w:ascii="Arial" w:hAnsi="Arial"/>
          <w:color w:val="FF0000"/>
          <w:sz w:val="20"/>
          <w:szCs w:val="20"/>
        </w:rPr>
        <w:t xml:space="preserve">......................... </w:t>
      </w:r>
      <w:r>
        <w:rPr>
          <w:rFonts w:cs="Arial" w:ascii="Arial" w:hAnsi="Arial"/>
          <w:iCs/>
          <w:color w:val="FF0000"/>
          <w:sz w:val="20"/>
          <w:szCs w:val="20"/>
        </w:rPr>
        <w:t>(</w:t>
      </w:r>
      <w:r>
        <w:rPr>
          <w:rFonts w:cs="Arial" w:ascii="Arial" w:hAnsi="Arial"/>
          <w:i/>
          <w:iCs/>
          <w:color w:val="FF0000"/>
          <w:sz w:val="20"/>
          <w:szCs w:val="20"/>
        </w:rPr>
        <w:t>cargo e nome</w:t>
      </w:r>
      <w:r>
        <w:rPr>
          <w:rFonts w:cs="Arial" w:ascii="Arial" w:hAnsi="Arial"/>
          <w:iCs/>
          <w:color w:val="FF0000"/>
          <w:sz w:val="20"/>
          <w:szCs w:val="20"/>
        </w:rPr>
        <w:t>)</w:t>
      </w:r>
      <w:r>
        <w:rPr>
          <w:rFonts w:cs="Arial" w:ascii="Arial" w:hAnsi="Arial"/>
          <w:sz w:val="20"/>
          <w:szCs w:val="20"/>
        </w:rPr>
        <w:t xml:space="preserve">, nomeado(a) pela Portaria nº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20</w:t>
      </w:r>
      <w:r>
        <w:rPr>
          <w:rFonts w:cs="Arial" w:ascii="Arial" w:hAnsi="Arial"/>
          <w:color w:val="FF0000"/>
          <w:sz w:val="20"/>
          <w:szCs w:val="20"/>
        </w:rPr>
        <w:t>...</w:t>
      </w:r>
      <w:r>
        <w:rPr>
          <w:rFonts w:cs="Arial" w:ascii="Arial" w:hAnsi="Arial"/>
          <w:sz w:val="20"/>
          <w:szCs w:val="20"/>
        </w:rPr>
        <w:t>, publicada no</w:t>
      </w:r>
      <w:r>
        <w:rPr>
          <w:rFonts w:cs="Arial" w:ascii="Arial" w:hAnsi="Arial"/>
          <w:i/>
          <w:sz w:val="20"/>
          <w:szCs w:val="20"/>
        </w:rPr>
        <w:t xml:space="preserve"> </w:t>
      </w:r>
      <w:r>
        <w:rPr>
          <w:rFonts w:cs="Arial" w:ascii="Arial" w:hAnsi="Arial"/>
          <w:i/>
          <w:iCs/>
          <w:sz w:val="20"/>
          <w:szCs w:val="20"/>
        </w:rPr>
        <w:t>DOU</w:t>
      </w:r>
      <w:r>
        <w:rPr>
          <w:rFonts w:cs="Arial" w:ascii="Arial" w:hAnsi="Arial"/>
          <w:i/>
          <w:sz w:val="20"/>
          <w:szCs w:val="20"/>
        </w:rPr>
        <w:t xml:space="preserve"> </w:t>
      </w:r>
      <w:r>
        <w:rPr>
          <w:rFonts w:cs="Arial" w:ascii="Arial" w:hAnsi="Arial"/>
          <w:sz w:val="20"/>
          <w:szCs w:val="20"/>
        </w:rPr>
        <w:t xml:space="preserve">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de </w:t>
      </w:r>
      <w:r>
        <w:rPr>
          <w:rFonts w:cs="Arial" w:ascii="Arial" w:hAnsi="Arial"/>
          <w:color w:val="FF0000"/>
          <w:sz w:val="20"/>
          <w:szCs w:val="20"/>
        </w:rPr>
        <w:t>...........</w:t>
      </w:r>
      <w:r>
        <w:rPr>
          <w:rFonts w:cs="Arial" w:ascii="Arial" w:hAnsi="Arial"/>
          <w:sz w:val="20"/>
          <w:szCs w:val="20"/>
        </w:rPr>
        <w:t xml:space="preserve">, portador da Matrícula Funcional nº .........., doravante denominado CONTRATANTE, e o(a) </w:t>
      </w:r>
      <w:r>
        <w:rPr>
          <w:rFonts w:cs="Arial" w:ascii="Arial" w:hAnsi="Arial"/>
          <w:color w:val="FF0000"/>
          <w:sz w:val="20"/>
          <w:szCs w:val="20"/>
        </w:rPr>
        <w:t>..............................</w:t>
      </w:r>
      <w:r>
        <w:rPr>
          <w:rFonts w:cs="Arial" w:ascii="Arial" w:hAnsi="Arial"/>
          <w:sz w:val="20"/>
          <w:szCs w:val="20"/>
        </w:rPr>
        <w:t xml:space="preserve"> inscrito(a) no CNPJ/MF sob o nº </w:t>
      </w:r>
      <w:r>
        <w:rPr>
          <w:rFonts w:cs="Arial" w:ascii="Arial" w:hAnsi="Arial"/>
          <w:color w:val="FF0000"/>
          <w:sz w:val="20"/>
          <w:szCs w:val="20"/>
        </w:rPr>
        <w:t>............................</w:t>
      </w:r>
      <w:r>
        <w:rPr>
          <w:rFonts w:cs="Arial" w:ascii="Arial" w:hAnsi="Arial"/>
          <w:sz w:val="20"/>
          <w:szCs w:val="20"/>
        </w:rPr>
        <w:t xml:space="preserve">, sediado(a) na </w:t>
      </w:r>
      <w:r>
        <w:rPr>
          <w:rFonts w:cs="Arial" w:ascii="Arial" w:hAnsi="Arial"/>
          <w:color w:val="FF0000"/>
          <w:sz w:val="20"/>
          <w:szCs w:val="20"/>
        </w:rPr>
        <w:t>...................................</w:t>
      </w:r>
      <w:r>
        <w:rPr>
          <w:rFonts w:cs="Arial" w:ascii="Arial" w:hAnsi="Arial"/>
          <w:sz w:val="20"/>
          <w:szCs w:val="20"/>
        </w:rPr>
        <w:t xml:space="preserve">, em </w:t>
      </w:r>
      <w:r>
        <w:rPr>
          <w:rFonts w:cs="Arial" w:ascii="Arial" w:hAnsi="Arial"/>
          <w:color w:val="FF0000"/>
          <w:sz w:val="20"/>
          <w:szCs w:val="20"/>
        </w:rPr>
        <w:t>.............................</w:t>
      </w:r>
      <w:r>
        <w:rPr>
          <w:rFonts w:cs="Arial" w:ascii="Arial" w:hAnsi="Arial"/>
          <w:sz w:val="20"/>
          <w:szCs w:val="20"/>
        </w:rPr>
        <w:t xml:space="preserve"> doravante designado CONTRATADO, neste ato representada por .................................. </w:t>
      </w:r>
      <w:r>
        <w:rPr>
          <w:rFonts w:cs="Arial" w:ascii="Arial" w:hAnsi="Arial"/>
          <w:color w:val="FF0000"/>
          <w:sz w:val="20"/>
          <w:szCs w:val="20"/>
        </w:rPr>
        <w:t>(nome e função no contratado)</w:t>
      </w:r>
      <w:r>
        <w:rPr>
          <w:rFonts w:cs="Arial" w:ascii="Arial" w:hAnsi="Arial"/>
          <w:sz w:val="20"/>
          <w:szCs w:val="20"/>
        </w:rPr>
        <w:t xml:space="preserve">, </w:t>
      </w:r>
      <w:r>
        <w:rPr>
          <w:rFonts w:cs="Arial" w:ascii="Arial" w:hAnsi="Arial"/>
          <w:i/>
          <w:color w:val="FF0000"/>
          <w:sz w:val="20"/>
          <w:szCs w:val="20"/>
        </w:rPr>
        <w:t xml:space="preserve">conforme atos constitutivos da empresa </w:t>
      </w:r>
      <w:r>
        <w:rPr>
          <w:rFonts w:cs="Arial" w:ascii="Arial" w:hAnsi="Arial"/>
          <w:b/>
          <w:i/>
          <w:color w:val="FF0000"/>
          <w:sz w:val="20"/>
          <w:szCs w:val="20"/>
        </w:rPr>
        <w:t>OU</w:t>
      </w:r>
      <w:r>
        <w:rPr>
          <w:rFonts w:cs="Arial" w:ascii="Arial" w:hAnsi="Arial"/>
          <w:i/>
          <w:color w:val="FF0000"/>
          <w:sz w:val="20"/>
          <w:szCs w:val="20"/>
        </w:rPr>
        <w:t xml:space="preserve"> procuração apresentada nos autos, </w:t>
      </w:r>
      <w:r>
        <w:rPr>
          <w:rFonts w:cs="Arial" w:ascii="Arial" w:hAnsi="Arial"/>
          <w:sz w:val="20"/>
          <w:szCs w:val="20"/>
        </w:rPr>
        <w:t xml:space="preserve">tendo em vista o que consta no Processo nº </w:t>
      </w:r>
      <w:r>
        <w:rPr>
          <w:rFonts w:cs="Arial" w:ascii="Arial" w:hAnsi="Arial"/>
          <w:color w:val="FF0000"/>
          <w:sz w:val="20"/>
          <w:szCs w:val="20"/>
        </w:rPr>
        <w:t xml:space="preserve">.............................. </w:t>
      </w:r>
      <w:r>
        <w:rPr>
          <w:rFonts w:cs="Arial" w:ascii="Arial" w:hAnsi="Arial"/>
          <w:sz w:val="20"/>
          <w:szCs w:val="20"/>
        </w:rPr>
        <w:t xml:space="preserve">e em observância às disposições da Lei nº 14.133, de 2021 e da Instrução Normativa SEGES/ME nº 75, de 2021, resolvem celebrar o presente Termo de Contrato, decorrente </w:t>
      </w:r>
      <w:r>
        <w:rPr>
          <w:rFonts w:cs="Arial" w:ascii="Arial" w:hAnsi="Arial"/>
          <w:i/>
          <w:iCs/>
          <w:color w:val="000000"/>
          <w:sz w:val="20"/>
          <w:szCs w:val="20"/>
        </w:rPr>
        <w:t>da Dispensa de Licitação n.</w:t>
      </w:r>
      <w:r>
        <w:rPr>
          <w:rFonts w:eastAsia="Calibri" w:cs="Arial" w:ascii="Arial" w:hAnsi="Arial"/>
          <w:i/>
          <w:iCs/>
          <w:color w:val="000000"/>
          <w:kern w:val="0"/>
          <w:sz w:val="20"/>
          <w:szCs w:val="20"/>
          <w:lang w:val="pt-BR" w:eastAsia="en-US" w:bidi="ar-SA"/>
        </w:rPr>
        <w:t>183</w:t>
      </w:r>
      <w:r>
        <w:rPr>
          <w:rFonts w:cs="Arial" w:ascii="Arial" w:hAnsi="Arial"/>
          <w:i/>
          <w:iCs/>
          <w:color w:val="000000"/>
          <w:sz w:val="20"/>
          <w:szCs w:val="20"/>
        </w:rPr>
        <w:t>/2022</w:t>
      </w:r>
      <w:r>
        <w:rPr>
          <w:rFonts w:cs="Arial" w:ascii="Arial" w:hAnsi="Arial"/>
          <w:color w:val="000000"/>
          <w:sz w:val="20"/>
          <w:szCs w:val="20"/>
        </w:rPr>
        <w:t>,</w:t>
      </w:r>
      <w:r>
        <w:rPr>
          <w:rFonts w:cs="Arial" w:ascii="Arial" w:hAnsi="Arial"/>
          <w:sz w:val="20"/>
          <w:szCs w:val="20"/>
        </w:rPr>
        <w:t xml:space="preserve"> mediante as cláusulas e condições a seguir enunciadas.</w:t>
      </w:r>
    </w:p>
    <w:p>
      <w:pPr>
        <w:pStyle w:val="Nivel01Titulo"/>
        <w:numPr>
          <w:ilvl w:val="0"/>
          <w:numId w:val="2"/>
        </w:numPr>
        <w:rPr>
          <w:rFonts w:cs="Arial"/>
        </w:rPr>
      </w:pPr>
      <w:r>
        <w:rPr>
          <w:rFonts w:cs="Arial"/>
        </w:rPr>
        <w:t>CLÁUSULA PRIMEIRA – OBJETO (art. 92, I e II)</w:t>
      </w:r>
    </w:p>
    <w:p>
      <w:pPr>
        <w:pStyle w:val="Normal"/>
        <w:numPr>
          <w:ilvl w:val="1"/>
          <w:numId w:val="2"/>
        </w:numPr>
        <w:spacing w:lineRule="auto" w:line="276" w:before="120" w:after="120"/>
        <w:ind w:left="425" w:hanging="0"/>
        <w:jc w:val="both"/>
        <w:rPr>
          <w:rFonts w:ascii="Arial" w:hAnsi="Arial" w:cs="Arial"/>
          <w:color w:val="000000"/>
          <w:sz w:val="20"/>
          <w:szCs w:val="20"/>
        </w:rPr>
      </w:pPr>
      <w:r>
        <w:rPr>
          <w:rFonts w:cs="Arial" w:ascii="Arial" w:hAnsi="Arial"/>
          <w:color w:val="000000"/>
          <w:sz w:val="20"/>
          <w:szCs w:val="20"/>
        </w:rPr>
        <w:t>O objeto do presente instrumento é a contratação de DOSIMETRIA, nas condições estabelecidas no Termo de Referência.</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Objeto da contratação:</w:t>
      </w:r>
    </w:p>
    <w:tbl>
      <w:tblPr>
        <w:tblW w:w="9498" w:type="dxa"/>
        <w:jc w:val="left"/>
        <w:tblInd w:w="-147" w:type="dxa"/>
        <w:tblLayout w:type="fixed"/>
        <w:tblCellMar>
          <w:top w:w="0" w:type="dxa"/>
          <w:left w:w="108" w:type="dxa"/>
          <w:bottom w:w="0" w:type="dxa"/>
          <w:right w:w="108" w:type="dxa"/>
        </w:tblCellMar>
        <w:tblLook w:firstRow="1" w:noVBand="1" w:lastRow="0" w:firstColumn="1" w:lastColumn="0" w:noHBand="0" w:val="04a0"/>
      </w:tblPr>
      <w:tblGrid>
        <w:gridCol w:w="706"/>
        <w:gridCol w:w="2554"/>
        <w:gridCol w:w="1277"/>
        <w:gridCol w:w="1134"/>
        <w:gridCol w:w="1184"/>
        <w:gridCol w:w="1427"/>
        <w:gridCol w:w="1215"/>
      </w:tblGrid>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color w:val="000000"/>
                <w:sz w:val="20"/>
                <w:szCs w:val="20"/>
              </w:rPr>
            </w:pPr>
            <w:r>
              <w:rPr>
                <w:rFonts w:cs="Arial" w:ascii="Arial" w:hAnsi="Arial"/>
                <w:b/>
                <w:bCs/>
                <w:color w:val="000000"/>
                <w:sz w:val="20"/>
                <w:szCs w:val="20"/>
              </w:rPr>
              <w:t>ITEM</w:t>
            </w:r>
          </w:p>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ESPECIFICAÇÃO</w:t>
            </w:r>
          </w:p>
        </w:tc>
        <w:tc>
          <w:tcPr>
            <w:tcW w:w="127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CATSER</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color w:val="000000"/>
                <w:sz w:val="20"/>
                <w:szCs w:val="20"/>
              </w:rPr>
            </w:pPr>
            <w:r>
              <w:rPr>
                <w:rFonts w:cs="Arial" w:ascii="Arial" w:hAnsi="Arial"/>
                <w:b/>
                <w:bCs/>
                <w:color w:val="000000"/>
                <w:sz w:val="20"/>
                <w:szCs w:val="20"/>
              </w:rPr>
              <w:t>UNIDADE DE MEDIDA</w:t>
            </w:r>
          </w:p>
        </w:tc>
        <w:tc>
          <w:tcPr>
            <w:tcW w:w="118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QTDE</w:t>
            </w:r>
          </w:p>
        </w:tc>
        <w:tc>
          <w:tcPr>
            <w:tcW w:w="142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UNITÁRIO</w:t>
            </w:r>
          </w:p>
        </w:tc>
        <w:tc>
          <w:tcPr>
            <w:tcW w:w="1215"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bCs/>
                <w:sz w:val="20"/>
                <w:szCs w:val="20"/>
              </w:rPr>
            </w:pPr>
            <w:r>
              <w:rPr>
                <w:rFonts w:cs="Arial" w:ascii="Arial" w:hAnsi="Arial"/>
                <w:b/>
                <w:bCs/>
                <w:sz w:val="20"/>
                <w:szCs w:val="20"/>
              </w:rPr>
              <w:t>VALOR TOTAL</w:t>
            </w:r>
          </w:p>
        </w:tc>
      </w:tr>
      <w:tr>
        <w:trPr/>
        <w:tc>
          <w:tcPr>
            <w:tcW w:w="706"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76" w:before="0" w:after="0"/>
              <w:jc w:val="center"/>
              <w:rPr>
                <w:rFonts w:ascii="Arial" w:hAnsi="Arial" w:cs="Arial"/>
                <w:b/>
                <w:b/>
                <w:color w:val="000000"/>
                <w:sz w:val="20"/>
                <w:szCs w:val="20"/>
              </w:rPr>
            </w:pPr>
            <w:r>
              <w:rPr>
                <w:rFonts w:cs="Arial" w:ascii="Arial" w:hAnsi="Arial"/>
                <w:b/>
                <w:color w:val="000000"/>
                <w:sz w:val="20"/>
                <w:szCs w:val="20"/>
              </w:rPr>
              <w:t>1</w:t>
            </w:r>
          </w:p>
        </w:tc>
        <w:tc>
          <w:tcPr>
            <w:tcW w:w="2554"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false"/>
              <w:snapToGrid w:val="false"/>
              <w:spacing w:lineRule="auto" w:line="276" w:before="0" w:after="120"/>
              <w:jc w:val="center"/>
              <w:rPr>
                <w:rFonts w:ascii="Calibri" w:hAnsi="Calibri" w:cs="Arial"/>
                <w:color w:val="000000"/>
                <w:sz w:val="24"/>
              </w:rPr>
            </w:pPr>
            <w:r>
              <w:rPr>
                <w:rFonts w:cs="Arial"/>
                <w:color w:val="000000"/>
                <w:sz w:val="20"/>
                <w:szCs w:val="20"/>
              </w:rPr>
              <w:t>Serviço de monitoração (Dosimetria) individual externa até 05 (cinco) usuários e 2(dois) padrões.</w:t>
            </w:r>
          </w:p>
        </w:tc>
        <w:tc>
          <w:tcPr>
            <w:tcW w:w="1277" w:type="dxa"/>
            <w:tcBorders>
              <w:top w:val="single" w:sz="4" w:space="0" w:color="000000"/>
              <w:left w:val="single" w:sz="4" w:space="0" w:color="000000"/>
              <w:bottom w:val="single" w:sz="4" w:space="0" w:color="000000"/>
              <w:right w:val="single" w:sz="4" w:space="0" w:color="000000"/>
            </w:tcBorders>
          </w:tcPr>
          <w:p>
            <w:pPr>
              <w:pStyle w:val="Corpodotexto"/>
              <w:widowControl w:val="false"/>
              <w:suppressAutoHyphens w:val="true"/>
              <w:spacing w:lineRule="auto" w:line="276" w:before="0" w:after="0"/>
              <w:jc w:val="center"/>
              <w:rPr>
                <w:rFonts w:ascii="Calibri" w:hAnsi="Calibri" w:cs="Arial"/>
                <w:color w:val="000000"/>
                <w:sz w:val="20"/>
                <w:szCs w:val="20"/>
              </w:rPr>
            </w:pPr>
            <w:r>
              <w:rPr>
                <w:rFonts w:cs="Arial"/>
                <w:color w:val="000000"/>
                <w:sz w:val="20"/>
                <w:szCs w:val="20"/>
              </w:rPr>
              <w:t>15121</w:t>
            </w:r>
          </w:p>
        </w:tc>
        <w:tc>
          <w:tcPr>
            <w:tcW w:w="1134" w:type="dxa"/>
            <w:tcBorders>
              <w:top w:val="single" w:sz="4" w:space="0" w:color="000000"/>
              <w:left w:val="single" w:sz="4" w:space="0" w:color="000000"/>
              <w:bottom w:val="single" w:sz="4" w:space="0" w:color="000000"/>
              <w:right w:val="single" w:sz="4" w:space="0" w:color="000000"/>
            </w:tcBorders>
          </w:tcPr>
          <w:p>
            <w:pPr>
              <w:pStyle w:val="Corpodotexto"/>
              <w:widowControl w:val="false"/>
              <w:suppressAutoHyphens w:val="true"/>
              <w:spacing w:lineRule="auto" w:line="276" w:before="0" w:after="0"/>
              <w:jc w:val="center"/>
              <w:rPr>
                <w:rFonts w:ascii="Calibri" w:hAnsi="Calibri" w:cs="Arial"/>
                <w:color w:val="000000"/>
                <w:sz w:val="20"/>
                <w:szCs w:val="20"/>
              </w:rPr>
            </w:pPr>
            <w:r>
              <w:rPr>
                <w:rFonts w:cs="Arial"/>
                <w:color w:val="000000"/>
                <w:sz w:val="20"/>
                <w:szCs w:val="20"/>
              </w:rPr>
              <w:t>Sv</w:t>
            </w:r>
          </w:p>
        </w:tc>
        <w:tc>
          <w:tcPr>
            <w:tcW w:w="1184" w:type="dxa"/>
            <w:tcBorders>
              <w:top w:val="single" w:sz="4" w:space="0" w:color="000000"/>
              <w:left w:val="single" w:sz="4" w:space="0" w:color="000000"/>
              <w:bottom w:val="single" w:sz="4" w:space="0" w:color="000000"/>
              <w:right w:val="single" w:sz="4" w:space="0" w:color="000000"/>
            </w:tcBorders>
          </w:tcPr>
          <w:p>
            <w:pPr>
              <w:pStyle w:val="Corpodotexto"/>
              <w:widowControl w:val="false"/>
              <w:suppressAutoHyphens w:val="true"/>
              <w:spacing w:lineRule="auto" w:line="276" w:before="0" w:after="0"/>
              <w:jc w:val="center"/>
              <w:rPr>
                <w:rFonts w:ascii="Calibri" w:hAnsi="Calibri" w:cs="Arial"/>
                <w:color w:val="000000"/>
                <w:sz w:val="20"/>
                <w:szCs w:val="20"/>
              </w:rPr>
            </w:pPr>
            <w:r>
              <w:rPr>
                <w:rFonts w:cs="Arial"/>
                <w:color w:val="000000"/>
                <w:sz w:val="20"/>
                <w:szCs w:val="20"/>
              </w:rPr>
              <w:t>12</w:t>
            </w:r>
          </w:p>
        </w:tc>
        <w:tc>
          <w:tcPr>
            <w:tcW w:w="1427" w:type="dxa"/>
            <w:tcBorders>
              <w:top w:val="single" w:sz="4" w:space="0" w:color="000000"/>
              <w:left w:val="single" w:sz="4" w:space="0" w:color="000000"/>
              <w:bottom w:val="single" w:sz="4" w:space="0" w:color="000000"/>
              <w:right w:val="single" w:sz="4" w:space="0" w:color="000000"/>
            </w:tcBorders>
          </w:tcPr>
          <w:p>
            <w:pPr>
              <w:pStyle w:val="Contedodatabela"/>
              <w:widowControl w:val="false"/>
              <w:suppressAutoHyphens w:val="true"/>
              <w:snapToGrid w:val="false"/>
              <w:spacing w:lineRule="auto" w:line="276" w:before="0" w:after="120"/>
              <w:jc w:val="center"/>
              <w:rPr>
                <w:rFonts w:ascii="Calibri" w:hAnsi="Calibri" w:cs="Arial"/>
                <w:color w:val="000000"/>
                <w:sz w:val="24"/>
              </w:rPr>
            </w:pPr>
            <w:r>
              <w:rPr>
                <w:rFonts w:cs="Arial"/>
                <w:color w:val="000000"/>
                <w:sz w:val="20"/>
                <w:szCs w:val="20"/>
              </w:rPr>
              <w:t>R$ 134,52</w:t>
            </w:r>
          </w:p>
        </w:tc>
        <w:tc>
          <w:tcPr>
            <w:tcW w:w="1215" w:type="dxa"/>
            <w:tcBorders>
              <w:top w:val="single" w:sz="4" w:space="0" w:color="000000"/>
              <w:left w:val="single" w:sz="4" w:space="0" w:color="000000"/>
              <w:bottom w:val="single" w:sz="4" w:space="0" w:color="000000"/>
              <w:right w:val="single" w:sz="4" w:space="0" w:color="000000"/>
            </w:tcBorders>
          </w:tcPr>
          <w:p>
            <w:pPr>
              <w:pStyle w:val="Contedodatabela"/>
              <w:widowControl w:val="false"/>
              <w:suppressAutoHyphens w:val="true"/>
              <w:snapToGrid w:val="false"/>
              <w:spacing w:lineRule="auto" w:line="276" w:before="0" w:after="120"/>
              <w:jc w:val="center"/>
              <w:rPr>
                <w:rFonts w:cs="Arial"/>
                <w:color w:val="000000"/>
                <w:sz w:val="24"/>
              </w:rPr>
            </w:pPr>
            <w:r>
              <w:rPr>
                <w:rStyle w:val="Fontepargpadro"/>
                <w:rFonts w:eastAsia="Times New Roman" w:cs="Times New Roman"/>
                <w:b/>
                <w:bCs/>
                <w:color w:val="000000"/>
                <w:sz w:val="20"/>
                <w:szCs w:val="20"/>
              </w:rPr>
              <w:t>R$ 1.614,24</w:t>
            </w:r>
          </w:p>
        </w:tc>
      </w:tr>
    </w:tbl>
    <w:p>
      <w:pPr>
        <w:pStyle w:val="Normal"/>
        <w:spacing w:lineRule="auto" w:line="276" w:before="0" w:after="120"/>
        <w:jc w:val="both"/>
        <w:rPr>
          <w:rFonts w:ascii="Arial" w:hAnsi="Arial" w:cs="Arial"/>
          <w:color w:val="FF0000"/>
          <w:sz w:val="20"/>
          <w:szCs w:val="20"/>
        </w:rPr>
      </w:pPr>
      <w:r>
        <w:rPr>
          <w:rFonts w:cs="Arial" w:ascii="Arial" w:hAnsi="Arial"/>
          <w:color w:val="FF0000"/>
          <w:sz w:val="20"/>
          <w:szCs w:val="20"/>
        </w:rPr>
      </w:r>
    </w:p>
    <w:p>
      <w:pPr>
        <w:pStyle w:val="Normal"/>
        <w:numPr>
          <w:ilvl w:val="1"/>
          <w:numId w:val="2"/>
        </w:numPr>
        <w:spacing w:lineRule="auto" w:line="276" w:before="120" w:after="120"/>
        <w:ind w:left="425" w:hanging="0"/>
        <w:jc w:val="both"/>
        <w:rPr>
          <w:rFonts w:ascii="Arial" w:hAnsi="Arial" w:cs="Arial"/>
          <w:sz w:val="20"/>
          <w:szCs w:val="20"/>
          <w:lang w:val="x-none"/>
        </w:rPr>
      </w:pPr>
      <w:r>
        <w:rPr>
          <w:rFonts w:cs="Arial" w:ascii="Arial" w:hAnsi="Arial"/>
          <w:sz w:val="20"/>
          <w:szCs w:val="20"/>
        </w:rPr>
        <w:t>São anexos a este instrumento e vinculam esta contratação, independentemente de transcrição:</w:t>
      </w:r>
    </w:p>
    <w:p>
      <w:pPr>
        <w:pStyle w:val="Normal"/>
        <w:numPr>
          <w:ilvl w:val="2"/>
          <w:numId w:val="2"/>
        </w:numPr>
        <w:spacing w:lineRule="auto" w:line="276" w:before="120" w:after="120"/>
        <w:jc w:val="both"/>
        <w:rPr>
          <w:rFonts w:ascii="Arial" w:hAnsi="Arial" w:cs="Arial"/>
          <w:sz w:val="20"/>
          <w:szCs w:val="20"/>
          <w:lang w:val="x-none"/>
        </w:rPr>
      </w:pPr>
      <w:r>
        <w:rPr>
          <w:rFonts w:cs="Arial" w:ascii="Arial" w:hAnsi="Arial"/>
          <w:sz w:val="20"/>
          <w:szCs w:val="20"/>
        </w:rPr>
        <w:t>O Termo de Referência que embasou a contratação;</w:t>
      </w:r>
    </w:p>
    <w:p>
      <w:pPr>
        <w:pStyle w:val="Normal"/>
        <w:numPr>
          <w:ilvl w:val="2"/>
          <w:numId w:val="2"/>
        </w:numPr>
        <w:spacing w:lineRule="auto" w:line="276" w:before="120" w:after="120"/>
        <w:jc w:val="both"/>
        <w:rPr>
          <w:rFonts w:ascii="Arial" w:hAnsi="Arial" w:cs="Arial"/>
          <w:sz w:val="20"/>
          <w:szCs w:val="20"/>
          <w:lang w:val="x-none"/>
        </w:rPr>
      </w:pPr>
      <w:r>
        <w:rPr>
          <w:rFonts w:cs="Arial" w:ascii="Arial" w:hAnsi="Arial"/>
          <w:sz w:val="20"/>
          <w:szCs w:val="20"/>
        </w:rPr>
        <w:t xml:space="preserve">O Edital de Licitação, a Autorização de Contratação Direta e/ou o Aviso de Dispensa Eletrônica, caso existentes; </w:t>
      </w:r>
    </w:p>
    <w:p>
      <w:pPr>
        <w:pStyle w:val="Normal"/>
        <w:numPr>
          <w:ilvl w:val="2"/>
          <w:numId w:val="2"/>
        </w:numPr>
        <w:spacing w:lineRule="auto" w:line="276" w:before="120" w:after="120"/>
        <w:jc w:val="both"/>
        <w:rPr>
          <w:rFonts w:ascii="Arial" w:hAnsi="Arial" w:cs="Arial"/>
          <w:sz w:val="20"/>
          <w:szCs w:val="20"/>
          <w:lang w:val="x-none"/>
        </w:rPr>
      </w:pPr>
      <w:r>
        <w:rPr>
          <w:rFonts w:cs="Arial" w:ascii="Arial" w:hAnsi="Arial"/>
          <w:sz w:val="20"/>
          <w:szCs w:val="20"/>
        </w:rPr>
        <w:t>A Proposta do Contratado; e</w:t>
      </w:r>
    </w:p>
    <w:p>
      <w:pPr>
        <w:pStyle w:val="Normal"/>
        <w:numPr>
          <w:ilvl w:val="2"/>
          <w:numId w:val="2"/>
        </w:numPr>
        <w:spacing w:lineRule="auto" w:line="276" w:before="120" w:after="120"/>
        <w:jc w:val="both"/>
        <w:rPr>
          <w:rFonts w:ascii="Arial" w:hAnsi="Arial" w:cs="Arial"/>
          <w:sz w:val="20"/>
          <w:szCs w:val="20"/>
          <w:lang w:val="x-none"/>
        </w:rPr>
      </w:pPr>
      <w:r>
        <w:rPr>
          <w:rFonts w:cs="Arial" w:ascii="Arial" w:hAnsi="Arial"/>
          <w:sz w:val="20"/>
          <w:szCs w:val="20"/>
        </w:rPr>
        <w:t>Eventuais anexos dos documentos supracitados.</w:t>
      </w:r>
    </w:p>
    <w:p>
      <w:pPr>
        <w:pStyle w:val="Nivel01Titulo"/>
        <w:numPr>
          <w:ilvl w:val="0"/>
          <w:numId w:val="2"/>
        </w:numPr>
        <w:rPr>
          <w:rFonts w:cs="Arial"/>
        </w:rPr>
      </w:pPr>
      <w:r>
        <w:rPr>
          <w:rFonts w:cs="Arial"/>
        </w:rPr>
        <w:t>CLÁUSULA SEGUNDA – VIGÊNCIA E PRORROGAÇÃO.</w:t>
      </w:r>
    </w:p>
    <w:p>
      <w:pPr>
        <w:pStyle w:val="Normal"/>
        <w:numPr>
          <w:ilvl w:val="1"/>
          <w:numId w:val="2"/>
        </w:numPr>
        <w:spacing w:lineRule="auto" w:line="276" w:before="120" w:after="120"/>
        <w:ind w:left="425" w:hanging="0"/>
        <w:jc w:val="both"/>
        <w:rPr>
          <w:color w:val="000000"/>
        </w:rPr>
      </w:pPr>
      <w:r>
        <w:rPr>
          <w:rFonts w:cs="Arial" w:ascii="Arial" w:hAnsi="Arial"/>
          <w:bCs/>
          <w:i/>
          <w:color w:val="000000"/>
          <w:sz w:val="20"/>
          <w:szCs w:val="20"/>
        </w:rPr>
        <w:t>O prazo de vigência da contratação é de 12 (doze) meses contados da assinatura do contrato, na forma do artigo 105 da Lei n° 14.133/2021.</w:t>
      </w:r>
    </w:p>
    <w:p>
      <w:pPr>
        <w:pStyle w:val="Normal"/>
        <w:numPr>
          <w:ilvl w:val="2"/>
          <w:numId w:val="2"/>
        </w:numPr>
        <w:spacing w:lineRule="auto" w:line="276" w:before="120" w:after="120"/>
        <w:jc w:val="both"/>
        <w:rPr>
          <w:color w:val="000000"/>
        </w:rPr>
      </w:pPr>
      <w:r>
        <w:rPr>
          <w:rFonts w:cs="Arial" w:ascii="Arial" w:hAnsi="Arial"/>
          <w:bCs/>
          <w:i/>
          <w:color w:val="000000"/>
          <w:sz w:val="20"/>
          <w:szCs w:val="20"/>
        </w:rPr>
        <w:t>O prazo de vigência será automaticamente prorrogado, independentemente de termo aditivo, quando o objeto não for concluído no período firmado acima, ressalvadas as providências cabíveis no caso de culpa do contratado, previstas neste instrumento.</w:t>
      </w:r>
    </w:p>
    <w:p>
      <w:pPr>
        <w:pStyle w:val="Nivel01Titulo"/>
        <w:numPr>
          <w:ilvl w:val="0"/>
          <w:numId w:val="2"/>
        </w:numPr>
        <w:rPr>
          <w:rFonts w:cs="Arial"/>
        </w:rPr>
      </w:pPr>
      <w:r>
        <w:rPr>
          <w:rFonts w:cs="Arial"/>
        </w:rPr>
        <w:t>CLÁUSULA TERCEIRA – MODELOS DE EXECUÇÃO E GESTÃO CONTRATUAIS (art. 92, IV, VII e XVIII)</w:t>
      </w:r>
    </w:p>
    <w:p>
      <w:pPr>
        <w:pStyle w:val="Normal"/>
        <w:numPr>
          <w:ilvl w:val="1"/>
          <w:numId w:val="2"/>
        </w:numPr>
        <w:spacing w:lineRule="auto" w:line="276" w:before="120" w:after="120"/>
        <w:jc w:val="both"/>
        <w:rPr>
          <w:rFonts w:ascii="Arial" w:hAnsi="Arial" w:cs="Arial"/>
          <w:sz w:val="20"/>
          <w:szCs w:val="20"/>
        </w:rPr>
      </w:pPr>
      <w:r>
        <w:rPr>
          <w:rFonts w:cs="Arial" w:ascii="Arial" w:hAnsi="Arial"/>
          <w:sz w:val="20"/>
          <w:szCs w:val="20"/>
        </w:rPr>
        <w:t>O regime de execução contratual, o modelo de gestão, assim como os prazos e condições de</w:t>
      </w:r>
      <w:r>
        <w:rPr>
          <w:rFonts w:cs="Arial" w:ascii="Arial" w:hAnsi="Arial"/>
          <w:color w:val="000000"/>
          <w:sz w:val="20"/>
          <w:szCs w:val="20"/>
        </w:rPr>
        <w:t xml:space="preserve"> conclusão, entrega, observação e recebimento definitivo</w:t>
      </w:r>
      <w:r>
        <w:rPr>
          <w:rFonts w:cs="Arial" w:ascii="Arial" w:hAnsi="Arial"/>
          <w:sz w:val="20"/>
          <w:szCs w:val="20"/>
        </w:rPr>
        <w:t xml:space="preserve"> constam no Termo de Referência, anexo a este Contrato.</w:t>
      </w:r>
    </w:p>
    <w:p>
      <w:pPr>
        <w:pStyle w:val="Nivel01Titulo"/>
        <w:numPr>
          <w:ilvl w:val="0"/>
          <w:numId w:val="2"/>
        </w:numPr>
        <w:rPr>
          <w:rFonts w:cs="Arial"/>
        </w:rPr>
      </w:pPr>
      <w:r>
        <w:rPr>
          <w:rFonts w:cs="Arial"/>
        </w:rPr>
        <w:t xml:space="preserve">CLÁUSULA QUARTA - SUBCONTRATAÇÃO </w:t>
      </w:r>
    </w:p>
    <w:p>
      <w:pPr>
        <w:pStyle w:val="Normal"/>
        <w:numPr>
          <w:ilvl w:val="1"/>
          <w:numId w:val="2"/>
        </w:numPr>
        <w:spacing w:lineRule="auto" w:line="276" w:before="120" w:after="120"/>
        <w:jc w:val="both"/>
        <w:rPr>
          <w:rFonts w:ascii="Arial" w:hAnsi="Arial" w:cs="Arial"/>
          <w:i/>
          <w:i/>
          <w:color w:val="FF0000"/>
          <w:sz w:val="20"/>
          <w:szCs w:val="20"/>
        </w:rPr>
      </w:pPr>
      <w:r>
        <w:rPr>
          <w:rFonts w:cs="Arial" w:ascii="Arial" w:hAnsi="Arial"/>
          <w:i/>
          <w:color w:val="FF0000"/>
          <w:sz w:val="20"/>
          <w:szCs w:val="20"/>
        </w:rPr>
        <w:t>Não será admitida a subcontratação do objeto contratual.</w:t>
      </w:r>
    </w:p>
    <w:p>
      <w:pPr>
        <w:pStyle w:val="Nivel01Titulo"/>
        <w:numPr>
          <w:ilvl w:val="0"/>
          <w:numId w:val="2"/>
        </w:numPr>
        <w:rPr>
          <w:rFonts w:cs="Arial"/>
        </w:rPr>
      </w:pPr>
      <w:r>
        <w:rPr>
          <w:rFonts w:cs="Arial"/>
        </w:rPr>
        <w:t>CLÁUSULA QUINTA – PAGAMENTO (art. 92, V e VI)</w:t>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PREÇO</w:t>
      </w:r>
    </w:p>
    <w:p>
      <w:pPr>
        <w:pStyle w:val="Normal"/>
        <w:numPr>
          <w:ilvl w:val="2"/>
          <w:numId w:val="2"/>
        </w:numPr>
        <w:spacing w:lineRule="auto" w:line="276" w:before="120" w:after="120"/>
        <w:ind w:left="284" w:hanging="0"/>
        <w:jc w:val="both"/>
        <w:rPr>
          <w:rFonts w:ascii="Arial" w:hAnsi="Arial" w:cs="Arial"/>
          <w:i/>
          <w:i/>
          <w:color w:val="FF0000"/>
          <w:sz w:val="20"/>
          <w:szCs w:val="20"/>
        </w:rPr>
      </w:pPr>
      <w:r>
        <w:rPr>
          <w:rFonts w:cs="Arial" w:ascii="Arial" w:hAnsi="Arial"/>
          <w:i/>
          <w:color w:val="FF0000"/>
          <w:sz w:val="20"/>
          <w:szCs w:val="20"/>
        </w:rPr>
        <w:t>O valor mensal da contratação é de R$ .......... (.....), perfazendo o valor total de R$ ....... (....).</w:t>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FORMA DE PAGAMENTO</w:t>
      </w:r>
    </w:p>
    <w:p>
      <w:pPr>
        <w:pStyle w:val="Normal"/>
        <w:numPr>
          <w:ilvl w:val="2"/>
          <w:numId w:val="53"/>
        </w:numPr>
        <w:spacing w:lineRule="auto" w:line="276" w:before="120" w:after="120"/>
        <w:ind w:left="284" w:hanging="0"/>
        <w:jc w:val="both"/>
        <w:rPr>
          <w:color w:val="000000"/>
        </w:rPr>
      </w:pPr>
      <w:r>
        <w:rPr>
          <w:rFonts w:cs="Arial" w:ascii="Arial" w:hAnsi="Arial"/>
          <w:i/>
          <w:color w:val="000000"/>
          <w:sz w:val="20"/>
          <w:szCs w:val="20"/>
        </w:rPr>
        <w:t>O pagamento será realizado através de ordem bancária, para crédito em banco, agência e conta corrente indicados pelo contratado.</w:t>
      </w:r>
    </w:p>
    <w:p>
      <w:pPr>
        <w:pStyle w:val="Normal"/>
        <w:numPr>
          <w:ilvl w:val="2"/>
          <w:numId w:val="54"/>
        </w:numPr>
        <w:spacing w:lineRule="auto" w:line="276" w:before="120" w:after="120"/>
        <w:ind w:left="284" w:hanging="0"/>
        <w:jc w:val="both"/>
        <w:rPr>
          <w:color w:val="000000"/>
        </w:rPr>
      </w:pPr>
      <w:r>
        <w:rPr>
          <w:rFonts w:cs="Arial" w:ascii="Arial" w:hAnsi="Arial"/>
          <w:i/>
          <w:color w:val="000000"/>
          <w:sz w:val="20"/>
          <w:szCs w:val="20"/>
        </w:rPr>
        <w:t>Será considerada data do pagamento o dia em que constar como emitida a ordem bancária para pagamento.</w:t>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PRAZO DE PAGAMENTO</w:t>
      </w:r>
    </w:p>
    <w:p>
      <w:pPr>
        <w:pStyle w:val="Normal"/>
        <w:numPr>
          <w:ilvl w:val="2"/>
          <w:numId w:val="55"/>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O </w:t>
      </w:r>
      <w:r>
        <w:rPr>
          <w:rFonts w:cs="Arial" w:ascii="Arial" w:hAnsi="Arial"/>
          <w:sz w:val="20"/>
          <w:szCs w:val="20"/>
        </w:rPr>
        <w:t>pagamento</w:t>
      </w:r>
      <w:r>
        <w:rPr>
          <w:rFonts w:cs="Arial" w:ascii="Arial" w:hAnsi="Arial"/>
          <w:color w:val="000000" w:themeColor="text1"/>
          <w:sz w:val="20"/>
          <w:szCs w:val="20"/>
        </w:rPr>
        <w:t xml:space="preserve"> será efetuado no prazo máximo de</w:t>
      </w:r>
      <w:r>
        <w:rPr>
          <w:rFonts w:eastAsia="Arial" w:cs="Arial" w:ascii="Arial" w:hAnsi="Arial"/>
          <w:color w:val="000000" w:themeColor="text1"/>
          <w:sz w:val="20"/>
          <w:szCs w:val="20"/>
        </w:rPr>
        <w:t xml:space="preserve"> até </w:t>
      </w:r>
      <w:r>
        <w:rPr>
          <w:rFonts w:eastAsia="Arial" w:cs="Arial" w:ascii="Arial" w:hAnsi="Arial"/>
          <w:color w:val="000000"/>
          <w:sz w:val="20"/>
          <w:szCs w:val="20"/>
        </w:rPr>
        <w:t>30 (trinta)</w:t>
      </w:r>
      <w:r>
        <w:rPr>
          <w:rFonts w:eastAsia="Arial" w:cs="Arial" w:ascii="Arial" w:hAnsi="Arial"/>
          <w:color w:val="FF0000"/>
          <w:sz w:val="20"/>
          <w:szCs w:val="20"/>
        </w:rPr>
        <w:t xml:space="preserve"> </w:t>
      </w:r>
      <w:r>
        <w:rPr>
          <w:rFonts w:cs="Arial" w:ascii="Arial" w:hAnsi="Arial"/>
          <w:color w:val="000000" w:themeColor="text1"/>
          <w:sz w:val="20"/>
          <w:szCs w:val="20"/>
        </w:rPr>
        <w:t>dias, contados do recebimento da Nota Fiscal/Fatura.</w:t>
      </w:r>
    </w:p>
    <w:p>
      <w:pPr>
        <w:pStyle w:val="Normal"/>
        <w:numPr>
          <w:ilvl w:val="2"/>
          <w:numId w:val="56"/>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Considera-se ocorrido o recebimento da nota fiscal ou fatura quando o órgão contratante atestar a execução do objeto do contrato.</w:t>
      </w:r>
    </w:p>
    <w:p>
      <w:pPr>
        <w:pStyle w:val="Normal"/>
        <w:numPr>
          <w:ilvl w:val="2"/>
          <w:numId w:val="57"/>
        </w:numPr>
        <w:spacing w:lineRule="auto" w:line="276" w:before="120" w:after="120"/>
        <w:ind w:left="284" w:hanging="0"/>
        <w:jc w:val="both"/>
        <w:rPr>
          <w:color w:val="000000"/>
        </w:rPr>
      </w:pPr>
      <w:r>
        <w:rPr>
          <w:rFonts w:cs="Arial" w:ascii="Arial" w:hAnsi="Arial"/>
          <w:color w:val="000000" w:themeColor="text1"/>
          <w:sz w:val="20"/>
          <w:szCs w:val="20"/>
        </w:rPr>
        <w:t xml:space="preserve">No caso de atraso pelo Contratante, os valores devidos ao contratado serão atualizados monetariamente entre o termo final do prazo de pagamento até a data de sua efetiva realização, mediante aplicação do índice </w:t>
      </w:r>
      <w:r>
        <w:rPr>
          <w:rFonts w:cs="Arial" w:ascii="Arial" w:hAnsi="Arial"/>
          <w:i/>
          <w:iCs/>
          <w:color w:val="000000"/>
          <w:sz w:val="20"/>
          <w:szCs w:val="20"/>
        </w:rPr>
        <w:t>IPCA</w:t>
      </w:r>
      <w:r>
        <w:rPr>
          <w:rFonts w:cs="Arial" w:ascii="Arial" w:hAnsi="Arial"/>
          <w:color w:val="000000" w:themeColor="text1"/>
          <w:sz w:val="20"/>
          <w:szCs w:val="20"/>
        </w:rPr>
        <w:t xml:space="preserve"> de correção monetária.</w:t>
      </w:r>
    </w:p>
    <w:p>
      <w:pPr>
        <w:pStyle w:val="Normal"/>
        <w:spacing w:lineRule="auto" w:line="240" w:before="0" w:after="0"/>
        <w:ind w:left="851" w:hanging="0"/>
        <w:jc w:val="both"/>
        <w:rPr>
          <w:rFonts w:ascii="Arial" w:hAnsi="Arial" w:cs="Arial"/>
          <w:b/>
          <w:b/>
          <w:color w:val="FF0000"/>
          <w:sz w:val="20"/>
          <w:szCs w:val="20"/>
          <w:lang w:val="x-none"/>
        </w:rPr>
      </w:pPr>
      <w:r>
        <w:rPr>
          <w:rFonts w:cs="Arial" w:ascii="Arial" w:hAnsi="Arial"/>
          <w:b/>
          <w:color w:val="FF0000"/>
          <w:sz w:val="20"/>
          <w:szCs w:val="20"/>
          <w:lang w:val="x-none"/>
        </w:rPr>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CONDIÇÕES DE PAGAMENTO</w:t>
      </w:r>
    </w:p>
    <w:p>
      <w:pPr>
        <w:pStyle w:val="Normal"/>
        <w:numPr>
          <w:ilvl w:val="2"/>
          <w:numId w:val="58"/>
        </w:numPr>
        <w:spacing w:lineRule="auto" w:line="276" w:before="120" w:after="120"/>
        <w:ind w:left="284" w:hanging="0"/>
        <w:jc w:val="both"/>
        <w:rPr>
          <w:rFonts w:ascii="Arial" w:hAnsi="Arial" w:cs="Arial"/>
          <w:color w:val="000000" w:themeColor="text1"/>
          <w:sz w:val="20"/>
          <w:szCs w:val="20"/>
        </w:rPr>
      </w:pPr>
      <w:r>
        <w:rPr>
          <w:rFonts w:cs="Arial" w:ascii="Arial" w:hAnsi="Arial"/>
          <w:iCs/>
          <w:sz w:val="20"/>
          <w:szCs w:val="20"/>
        </w:rPr>
        <w:t xml:space="preserve">A emissão da </w:t>
      </w:r>
      <w:r>
        <w:rPr>
          <w:rFonts w:cs="Arial" w:ascii="Arial" w:hAnsi="Arial"/>
          <w:color w:val="000000" w:themeColor="text1"/>
          <w:sz w:val="20"/>
          <w:szCs w:val="20"/>
        </w:rPr>
        <w:t>Nota Fiscal/Fatura será precedida do recebimento definitivo do objeto da contratação, conforme disposto neste instrumento e/ou no Termo de Referência.</w:t>
      </w:r>
    </w:p>
    <w:p>
      <w:pPr>
        <w:pStyle w:val="Normal"/>
        <w:numPr>
          <w:ilvl w:val="2"/>
          <w:numId w:val="59"/>
        </w:numPr>
        <w:spacing w:lineRule="auto" w:line="276" w:before="120" w:after="120"/>
        <w:ind w:left="284" w:hanging="0"/>
        <w:jc w:val="both"/>
        <w:rPr>
          <w:rFonts w:ascii="Arial" w:hAnsi="Arial" w:cs="Arial"/>
          <w:color w:val="000000" w:themeColor="text1"/>
          <w:sz w:val="20"/>
          <w:szCs w:val="20"/>
        </w:rPr>
      </w:pPr>
      <w:r>
        <w:rPr>
          <w:rFonts w:cs="Arial" w:ascii="Arial" w:hAnsi="Arial"/>
          <w:color w:val="000000" w:themeColor="text1"/>
          <w:sz w:val="20"/>
          <w:szCs w:val="20"/>
        </w:rPr>
        <w:t xml:space="preserve"> </w:t>
      </w:r>
      <w:r>
        <w:rPr>
          <w:rFonts w:cs="Arial" w:ascii="Arial" w:hAnsi="Arial"/>
          <w:color w:val="000000" w:themeColor="text1"/>
          <w:sz w:val="20"/>
          <w:szCs w:val="20"/>
        </w:rPr>
        <w:t>Quando houver glosa parcial do objeto, o contratante deverá comunicar a empresa para que emita a nota fiscal ou fatura com o valor exato dimensionado.</w:t>
      </w:r>
    </w:p>
    <w:p>
      <w:pPr>
        <w:pStyle w:val="Normal"/>
        <w:numPr>
          <w:ilvl w:val="2"/>
          <w:numId w:val="60"/>
        </w:numPr>
        <w:spacing w:lineRule="auto" w:line="276" w:before="120" w:after="120"/>
        <w:ind w:left="284" w:hanging="0"/>
        <w:jc w:val="both"/>
        <w:rPr>
          <w:rFonts w:ascii="Arial" w:hAnsi="Arial" w:cs="Arial"/>
          <w:iCs/>
          <w:sz w:val="20"/>
          <w:szCs w:val="20"/>
        </w:rPr>
      </w:pPr>
      <w:r>
        <w:rPr>
          <w:rFonts w:cs="Arial" w:ascii="Arial" w:hAnsi="Arial"/>
          <w:color w:val="000000" w:themeColor="text1"/>
          <w:sz w:val="20"/>
          <w:szCs w:val="20"/>
        </w:rPr>
        <w:t>O setor competente para</w:t>
      </w:r>
      <w:r>
        <w:rPr>
          <w:rFonts w:cs="Arial" w:ascii="Arial" w:hAnsi="Arial"/>
          <w:color w:val="000000"/>
          <w:sz w:val="20"/>
          <w:szCs w:val="20"/>
        </w:rPr>
        <w:t xml:space="preserve"> proceder o pagamento deve verificar se a Nota Fiscal ou Fatura apresentada expressa os elementos necessários e essenciais do documento, tais como: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prazo de validade;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a data da emissão;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os dados do contrato e do órgão contratante;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período respectivo de execução do contrato;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 xml:space="preserve">o valor a pagar; e </w:t>
      </w:r>
    </w:p>
    <w:p>
      <w:pPr>
        <w:pStyle w:val="ListParagraph"/>
        <w:numPr>
          <w:ilvl w:val="0"/>
          <w:numId w:val="3"/>
        </w:numPr>
        <w:spacing w:lineRule="auto" w:line="276" w:before="120" w:after="120"/>
        <w:ind w:left="1560" w:hanging="360"/>
        <w:contextualSpacing/>
        <w:jc w:val="both"/>
        <w:rPr>
          <w:rFonts w:ascii="Arial" w:hAnsi="Arial" w:cs="Arial"/>
          <w:color w:val="000000"/>
          <w:sz w:val="20"/>
          <w:szCs w:val="20"/>
        </w:rPr>
      </w:pPr>
      <w:r>
        <w:rPr>
          <w:rFonts w:cs="Arial" w:ascii="Arial" w:hAnsi="Arial"/>
          <w:color w:val="000000"/>
          <w:sz w:val="20"/>
          <w:szCs w:val="20"/>
        </w:rPr>
        <w:t>eventual destaque do valor de retenções tributárias cabíveis.</w:t>
      </w:r>
    </w:p>
    <w:p>
      <w:pPr>
        <w:pStyle w:val="Normal"/>
        <w:numPr>
          <w:ilvl w:val="2"/>
          <w:numId w:val="61"/>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Havendo erro </w:t>
      </w:r>
      <w:r>
        <w:rPr>
          <w:rFonts w:cs="Arial" w:ascii="Arial" w:hAnsi="Arial"/>
          <w:color w:val="000000"/>
          <w:sz w:val="20"/>
          <w:szCs w:val="20"/>
        </w:rPr>
        <w:t>na</w:t>
      </w:r>
      <w:r>
        <w:rPr>
          <w:rFonts w:cs="Arial" w:ascii="Arial" w:hAnsi="Arial"/>
          <w:iCs/>
          <w:sz w:val="20"/>
          <w:szCs w:val="20"/>
        </w:rPr>
        <w:t xml:space="preserve"> apresentação da Nota Fiscal/Fatura, ou circunstância que impeça a liquidação da </w:t>
      </w:r>
      <w:r>
        <w:rPr>
          <w:rFonts w:cs="Arial" w:ascii="Arial" w:hAnsi="Arial"/>
          <w:color w:val="000000" w:themeColor="text1"/>
          <w:sz w:val="20"/>
          <w:szCs w:val="20"/>
        </w:rPr>
        <w:t>despesa</w:t>
      </w:r>
      <w:r>
        <w:rPr>
          <w:rFonts w:cs="Arial" w:ascii="Arial" w:hAnsi="Arial"/>
          <w:iCs/>
          <w:sz w:val="20"/>
          <w:szCs w:val="20"/>
        </w:rPr>
        <w:t>, o pagamento ficará sobrestado até que o contratado providencie as medidas saneadoras. Nesta hipótese, o prazo para pagamento iniciar-se-á após a comprovação da regularização da situação, não acarretando qualquer ônus para o contratante;</w:t>
      </w:r>
    </w:p>
    <w:p>
      <w:pPr>
        <w:pStyle w:val="Normal"/>
        <w:numPr>
          <w:ilvl w:val="2"/>
          <w:numId w:val="62"/>
        </w:numPr>
        <w:spacing w:lineRule="auto" w:line="276" w:before="120" w:after="120"/>
        <w:ind w:left="284" w:hanging="0"/>
        <w:jc w:val="both"/>
        <w:rPr>
          <w:rFonts w:ascii="Arial" w:hAnsi="Arial" w:cs="Arial"/>
          <w:color w:val="000000"/>
          <w:sz w:val="20"/>
          <w:szCs w:val="20"/>
        </w:rPr>
      </w:pPr>
      <w:r>
        <w:rPr>
          <w:rFonts w:cs="Arial" w:ascii="Arial" w:hAnsi="Arial"/>
          <w:iCs/>
          <w:sz w:val="20"/>
          <w:szCs w:val="20"/>
        </w:rPr>
        <w:t xml:space="preserve"> </w:t>
      </w:r>
      <w:r>
        <w:rPr>
          <w:rFonts w:cs="Arial" w:ascii="Arial" w:hAnsi="Arial"/>
          <w:color w:val="000000"/>
          <w:sz w:val="20"/>
          <w:szCs w:val="20"/>
        </w:rPr>
        <w:t xml:space="preserve">A Nota Fiscal ou Fatura deverá ser obrigatoriamente acompanhada da comprovação da regularidade fiscal, constatada por meio de consulta </w:t>
      </w:r>
      <w:r>
        <w:rPr>
          <w:rFonts w:cs="Arial" w:ascii="Arial" w:hAnsi="Arial"/>
          <w:i/>
          <w:color w:val="000000"/>
          <w:sz w:val="20"/>
          <w:szCs w:val="20"/>
        </w:rPr>
        <w:t>on-line</w:t>
      </w:r>
      <w:r>
        <w:rPr>
          <w:rFonts w:cs="Arial" w:ascii="Arial" w:hAnsi="Arial"/>
          <w:color w:val="000000"/>
          <w:sz w:val="20"/>
          <w:szCs w:val="20"/>
        </w:rPr>
        <w:t xml:space="preserve"> ao SICAF ou, na impossibilidade de acesso ao referido Sistema, mediante consulta aos sítios eletrônicos oficiais ou à documentação mencionada no art. 68 da Lei nº </w:t>
      </w:r>
      <w:r>
        <w:rPr>
          <w:rFonts w:cs="Arial" w:ascii="Arial" w:hAnsi="Arial"/>
          <w:sz w:val="20"/>
          <w:szCs w:val="20"/>
        </w:rPr>
        <w:t xml:space="preserve">14.133/2021. </w:t>
      </w:r>
      <w:r>
        <w:rPr>
          <w:rFonts w:cs="Arial" w:ascii="Arial" w:hAnsi="Arial"/>
          <w:color w:val="000000"/>
          <w:sz w:val="20"/>
          <w:szCs w:val="20"/>
        </w:rPr>
        <w:t xml:space="preserve">  </w:t>
      </w:r>
    </w:p>
    <w:p>
      <w:pPr>
        <w:pStyle w:val="Normal"/>
        <w:numPr>
          <w:ilvl w:val="2"/>
          <w:numId w:val="63"/>
        </w:numPr>
        <w:spacing w:lineRule="auto" w:line="276" w:before="120" w:after="120"/>
        <w:ind w:left="284" w:hanging="0"/>
        <w:jc w:val="both"/>
        <w:rPr>
          <w:rFonts w:ascii="Arial" w:hAnsi="Arial" w:cs="Arial"/>
          <w:color w:val="000000"/>
          <w:sz w:val="20"/>
          <w:szCs w:val="20"/>
        </w:rPr>
      </w:pPr>
      <w:r>
        <w:rPr>
          <w:rFonts w:cs="Arial" w:ascii="Arial" w:hAnsi="Arial"/>
          <w:sz w:val="20"/>
          <w:szCs w:val="20"/>
        </w:rPr>
        <w:t xml:space="preserve">Previamente à emissão de nota de empenho e a cada pagamento, a Administração deverá realizar consulta ao </w:t>
      </w:r>
      <w:r>
        <w:rPr>
          <w:rFonts w:cs="Arial" w:ascii="Arial" w:hAnsi="Arial"/>
          <w:color w:val="000000"/>
          <w:sz w:val="20"/>
          <w:szCs w:val="20"/>
        </w:rPr>
        <w:t>SICAF</w:t>
      </w:r>
      <w:r>
        <w:rPr>
          <w:rFonts w:cs="Arial" w:ascii="Arial" w:hAnsi="Arial"/>
          <w:sz w:val="20"/>
          <w:szCs w:val="20"/>
        </w:rPr>
        <w:t xml:space="preserve">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pPr>
        <w:pStyle w:val="Normal"/>
        <w:numPr>
          <w:ilvl w:val="2"/>
          <w:numId w:val="64"/>
        </w:numPr>
        <w:spacing w:lineRule="auto" w:line="276" w:before="120" w:after="120"/>
        <w:ind w:left="284" w:hanging="0"/>
        <w:jc w:val="both"/>
        <w:rPr>
          <w:rFonts w:ascii="Arial" w:hAnsi="Arial" w:cs="Arial"/>
          <w:sz w:val="20"/>
          <w:szCs w:val="20"/>
        </w:rPr>
      </w:pPr>
      <w:r>
        <w:rPr>
          <w:rFonts w:cs="Arial" w:ascii="Arial" w:hAnsi="Arial"/>
          <w:sz w:val="20"/>
          <w:szCs w:val="20"/>
        </w:rPr>
        <w:t xml:space="preserve">Constatando-se, junto ao SICAF, a situação de irregularidade do contratado, será providenciada sua </w:t>
      </w:r>
      <w:r>
        <w:rPr>
          <w:rFonts w:cs="Arial" w:ascii="Arial" w:hAnsi="Arial"/>
          <w:color w:val="000000"/>
          <w:sz w:val="20"/>
          <w:szCs w:val="20"/>
        </w:rPr>
        <w:t>notificação</w:t>
      </w:r>
      <w:r>
        <w:rPr>
          <w:rFonts w:cs="Arial" w:ascii="Arial" w:hAnsi="Arial"/>
          <w:sz w:val="20"/>
          <w:szCs w:val="20"/>
        </w:rPr>
        <w:t>, por escrito, para que, no prazo de 5 (cinco) dias úteis, regularize sua situação ou, no mesmo prazo, apresente sua defesa. O prazo poderá ser prorrogado uma vez, por igual período, a critério do contratante.</w:t>
      </w:r>
    </w:p>
    <w:p>
      <w:pPr>
        <w:pStyle w:val="Normal"/>
        <w:numPr>
          <w:ilvl w:val="2"/>
          <w:numId w:val="65"/>
        </w:numPr>
        <w:spacing w:lineRule="auto" w:line="276" w:before="120" w:after="120"/>
        <w:ind w:left="284" w:hanging="0"/>
        <w:jc w:val="both"/>
        <w:rPr>
          <w:rFonts w:ascii="Arial" w:hAnsi="Arial" w:cs="Arial"/>
          <w:sz w:val="20"/>
          <w:szCs w:val="20"/>
        </w:rPr>
      </w:pPr>
      <w:r>
        <w:rPr>
          <w:rFonts w:cs="Arial" w:ascii="Arial" w:hAnsi="Arial"/>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2"/>
          <w:numId w:val="66"/>
        </w:numPr>
        <w:spacing w:lineRule="auto" w:line="276" w:before="120" w:after="120"/>
        <w:ind w:left="284" w:hanging="0"/>
        <w:jc w:val="both"/>
        <w:rPr>
          <w:rFonts w:ascii="Arial" w:hAnsi="Arial" w:cs="Arial"/>
          <w:sz w:val="20"/>
          <w:szCs w:val="20"/>
        </w:rPr>
      </w:pPr>
      <w:r>
        <w:rPr>
          <w:rFonts w:cs="Arial" w:ascii="Arial" w:hAnsi="Arial"/>
          <w:sz w:val="20"/>
          <w:szCs w:val="20"/>
        </w:rPr>
        <w:t xml:space="preserve">Persistindo a irregularidade, o contratante deverá adotar as medidas necessárias à rescisão contratual nos autos do processo administrativo correspondente, assegurada ao contratado a ampla defesa. </w:t>
      </w:r>
    </w:p>
    <w:p>
      <w:pPr>
        <w:pStyle w:val="Normal"/>
        <w:numPr>
          <w:ilvl w:val="2"/>
          <w:numId w:val="67"/>
        </w:numPr>
        <w:spacing w:lineRule="auto" w:line="276" w:before="120" w:after="120"/>
        <w:ind w:left="284" w:hanging="0"/>
        <w:jc w:val="both"/>
        <w:rPr>
          <w:rFonts w:ascii="Arial" w:hAnsi="Arial" w:cs="Arial"/>
          <w:sz w:val="20"/>
          <w:szCs w:val="20"/>
        </w:rPr>
      </w:pPr>
      <w:r>
        <w:rPr>
          <w:rFonts w:cs="Arial" w:ascii="Arial" w:hAnsi="Arial"/>
          <w:sz w:val="20"/>
          <w:szCs w:val="20"/>
        </w:rPr>
        <w:t xml:space="preserve">Havendo a efetiva execução do objeto, os pagamentos serão realizados normalmente, até que se decida pela rescisão do contrato, caso o contratado não regularize sua situação junto ao SICAF.  </w:t>
      </w:r>
    </w:p>
    <w:p>
      <w:pPr>
        <w:pStyle w:val="Normal"/>
        <w:numPr>
          <w:ilvl w:val="2"/>
          <w:numId w:val="68"/>
        </w:numPr>
        <w:spacing w:lineRule="auto" w:line="276" w:before="120" w:after="120"/>
        <w:ind w:left="284" w:hanging="0"/>
        <w:jc w:val="both"/>
        <w:rPr>
          <w:rFonts w:ascii="Arial" w:hAnsi="Arial" w:cs="Arial"/>
          <w:sz w:val="20"/>
          <w:szCs w:val="20"/>
        </w:rPr>
      </w:pPr>
      <w:r>
        <w:rPr>
          <w:rFonts w:cs="Arial" w:ascii="Arial" w:hAnsi="Arial"/>
          <w:sz w:val="20"/>
          <w:szCs w:val="20"/>
        </w:rPr>
        <w:t>Quando do pagamento, será efetuada a retenção tributária prevista na legislação aplicável.</w:t>
      </w:r>
    </w:p>
    <w:p>
      <w:pPr>
        <w:pStyle w:val="Normal"/>
        <w:numPr>
          <w:ilvl w:val="3"/>
          <w:numId w:val="69"/>
        </w:numPr>
        <w:spacing w:lineRule="auto" w:line="276" w:before="120" w:after="120"/>
        <w:jc w:val="both"/>
        <w:rPr>
          <w:rFonts w:ascii="Arial" w:hAnsi="Arial" w:cs="Arial"/>
          <w:sz w:val="20"/>
          <w:szCs w:val="20"/>
        </w:rPr>
      </w:pPr>
      <w:r>
        <w:rPr>
          <w:rFonts w:cs="Arial" w:ascii="Arial" w:hAnsi="Arial"/>
          <w:sz w:val="20"/>
          <w:szCs w:val="20"/>
        </w:rPr>
        <w:t>Independentemente do percentual de tributo inserido na planilha, no pagamento serão retidos na fonte os percentuais estabelecidos na legislação vigente.</w:t>
      </w:r>
    </w:p>
    <w:p>
      <w:pPr>
        <w:pStyle w:val="Normal"/>
        <w:numPr>
          <w:ilvl w:val="2"/>
          <w:numId w:val="70"/>
        </w:numPr>
        <w:spacing w:lineRule="auto" w:line="276" w:before="120" w:after="120"/>
        <w:ind w:left="284" w:hanging="0"/>
        <w:jc w:val="both"/>
        <w:rPr>
          <w:rFonts w:ascii="Arial" w:hAnsi="Arial" w:cs="Arial"/>
          <w:sz w:val="20"/>
          <w:szCs w:val="20"/>
        </w:rPr>
      </w:pPr>
      <w:r>
        <w:rPr>
          <w:rFonts w:cs="Arial" w:ascii="Arial" w:hAnsi="Arial"/>
          <w:sz w:val="20"/>
          <w:szCs w:val="20"/>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numPr>
          <w:ilvl w:val="1"/>
          <w:numId w:val="2"/>
        </w:numPr>
        <w:spacing w:lineRule="auto" w:line="276" w:before="120" w:after="120"/>
        <w:jc w:val="both"/>
        <w:rPr>
          <w:rFonts w:ascii="Arial" w:hAnsi="Arial" w:cs="Arial"/>
          <w:b/>
          <w:b/>
          <w:color w:val="000000"/>
          <w:sz w:val="20"/>
          <w:szCs w:val="20"/>
        </w:rPr>
      </w:pPr>
      <w:r>
        <w:rPr>
          <w:rFonts w:cs="Arial" w:ascii="Arial" w:hAnsi="Arial"/>
          <w:b/>
          <w:color w:val="000000"/>
          <w:sz w:val="20"/>
          <w:szCs w:val="20"/>
        </w:rPr>
        <w:t>Suprimido</w:t>
      </w:r>
    </w:p>
    <w:p>
      <w:pPr>
        <w:pStyle w:val="Normal"/>
        <w:numPr>
          <w:ilvl w:val="1"/>
          <w:numId w:val="2"/>
        </w:numPr>
        <w:spacing w:lineRule="auto" w:line="276" w:before="120" w:after="120"/>
        <w:jc w:val="both"/>
        <w:rPr>
          <w:rFonts w:ascii="Arial" w:hAnsi="Arial" w:cs="Arial"/>
          <w:b/>
          <w:b/>
          <w:color w:val="0000CC"/>
          <w:sz w:val="20"/>
          <w:szCs w:val="20"/>
        </w:rPr>
      </w:pPr>
      <w:r>
        <w:rPr>
          <w:rFonts w:cs="Arial" w:ascii="Arial" w:hAnsi="Arial"/>
          <w:b/>
          <w:color w:val="0000CC"/>
          <w:sz w:val="20"/>
          <w:szCs w:val="20"/>
        </w:rPr>
        <w:t>CESSÃO DE CRÉDITO</w:t>
      </w:r>
    </w:p>
    <w:p>
      <w:pPr>
        <w:pStyle w:val="Normal"/>
        <w:spacing w:lineRule="auto" w:line="240" w:before="0" w:after="0"/>
        <w:jc w:val="both"/>
        <w:rPr>
          <w:rFonts w:ascii="Arial" w:hAnsi="Arial" w:cs="Arial"/>
          <w:sz w:val="20"/>
          <w:szCs w:val="20"/>
        </w:rPr>
      </w:pPr>
      <w:r>
        <w:rPr>
          <w:rFonts w:cs="Arial" w:ascii="Arial" w:hAnsi="Arial"/>
          <w:sz w:val="20"/>
          <w:szCs w:val="20"/>
        </w:rPr>
      </w:r>
    </w:p>
    <w:p>
      <w:pPr>
        <w:pStyle w:val="Normal"/>
        <w:numPr>
          <w:ilvl w:val="2"/>
          <w:numId w:val="71"/>
        </w:numPr>
        <w:spacing w:lineRule="auto" w:line="276" w:before="120" w:after="120"/>
        <w:ind w:left="284" w:hanging="0"/>
        <w:jc w:val="both"/>
        <w:rPr>
          <w:rFonts w:ascii="Arial" w:hAnsi="Arial" w:cs="Arial"/>
          <w:sz w:val="20"/>
          <w:szCs w:val="20"/>
        </w:rPr>
      </w:pPr>
      <w:r>
        <w:rPr>
          <w:rFonts w:cs="Arial" w:ascii="Arial" w:hAnsi="Arial"/>
          <w:sz w:val="20"/>
          <w:szCs w:val="20"/>
        </w:rPr>
        <w:t>É admitida a cessão fiduciária de direitos creditícios com instituição financeira, nos termos e de acordo com os procedimentos previstos na Instrução Normativa SEGES/ME nº 53, de 8 de Julho de 2020, conforme as regras deste presente tópico.</w:t>
      </w:r>
    </w:p>
    <w:p>
      <w:pPr>
        <w:pStyle w:val="Normal"/>
        <w:numPr>
          <w:ilvl w:val="3"/>
          <w:numId w:val="72"/>
        </w:numPr>
        <w:spacing w:lineRule="auto" w:line="276" w:before="120" w:after="120"/>
        <w:jc w:val="both"/>
        <w:rPr>
          <w:color w:val="000000"/>
        </w:rPr>
      </w:pPr>
      <w:r>
        <w:rPr>
          <w:rFonts w:cs="Arial" w:ascii="Arial" w:hAnsi="Arial"/>
          <w:i/>
          <w:iCs/>
          <w:color w:val="000000"/>
          <w:sz w:val="20"/>
          <w:szCs w:val="20"/>
        </w:rPr>
        <w:t>As cessões de crédito não fiduciárias dependerão de prévia aprovação do contratante.</w:t>
      </w:r>
    </w:p>
    <w:p>
      <w:pPr>
        <w:pStyle w:val="Normal"/>
        <w:numPr>
          <w:ilvl w:val="2"/>
          <w:numId w:val="73"/>
        </w:numPr>
        <w:spacing w:lineRule="auto" w:line="276" w:before="120" w:after="120"/>
        <w:ind w:left="284" w:hanging="0"/>
        <w:jc w:val="both"/>
        <w:rPr>
          <w:rFonts w:ascii="Arial" w:hAnsi="Arial" w:cs="Arial"/>
          <w:sz w:val="20"/>
          <w:szCs w:val="20"/>
        </w:rPr>
      </w:pPr>
      <w:r>
        <w:rPr>
          <w:rFonts w:cs="Arial" w:ascii="Arial" w:hAnsi="Arial"/>
          <w:sz w:val="20"/>
          <w:szCs w:val="20"/>
        </w:rPr>
        <w:t>A cessão de crédito, de qualquer natureza, a ser feita mediante celebração de termo aditivo, dependerá de comprovação da regularidade fiscal e trabalhista da cessionária, bem como da certificação de que a cessionária não se encontra impedida de licitar e contratar com o Poder Público, conforme a legislação em vigor, nos termos do Parecer JL-01, de 18 de maio de 2020.</w:t>
      </w:r>
    </w:p>
    <w:p>
      <w:pPr>
        <w:pStyle w:val="Normal"/>
        <w:numPr>
          <w:ilvl w:val="2"/>
          <w:numId w:val="74"/>
        </w:numPr>
        <w:spacing w:lineRule="auto" w:line="276" w:before="120" w:after="120"/>
        <w:ind w:left="284" w:hanging="0"/>
        <w:jc w:val="both"/>
        <w:rPr>
          <w:rFonts w:ascii="Arial" w:hAnsi="Arial" w:cs="Arial"/>
          <w:sz w:val="20"/>
          <w:szCs w:val="20"/>
        </w:rPr>
      </w:pPr>
      <w:r>
        <w:rPr>
          <w:rFonts w:cs="Arial" w:ascii="Arial" w:hAnsi="Arial"/>
          <w:sz w:val="20"/>
          <w:szCs w:val="20"/>
        </w:rPr>
        <w:t>O crédito a ser pago à cessionária é exatamente aquele que seria destinado à cedente (contratada) pela execução do objeto contratual, com o desconto de eventuais multas, glosas e prejuízos causados à Administração, sem prejuízo da utilização de institutos tais como os da conta vinculada e do pagamento direto previstos na IN SEGES/ME nº 5, de 2017, caso aplicáveis.</w:t>
      </w:r>
    </w:p>
    <w:p>
      <w:pPr>
        <w:pStyle w:val="Nivel01Titulo"/>
        <w:numPr>
          <w:ilvl w:val="0"/>
          <w:numId w:val="2"/>
        </w:numPr>
        <w:rPr>
          <w:rFonts w:cs="Arial"/>
          <w:bCs w:val="false"/>
          <w:color w:val="0000CC"/>
        </w:rPr>
      </w:pPr>
      <w:r>
        <w:rPr>
          <w:rFonts w:cs="Arial"/>
        </w:rPr>
        <w:t>CLÁUSULA SEXTA - REAJUSTE (art. 92, V)</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Os preços inicialmente contratados são fixos e irreajustáveis no prazo de um ano contado da data do orçamento estimado, em</w:t>
      </w:r>
      <w:r>
        <w:rPr>
          <w:rFonts w:cs="Arial" w:ascii="Arial" w:hAnsi="Arial"/>
          <w:color w:val="000000"/>
          <w:sz w:val="20"/>
          <w:szCs w:val="20"/>
        </w:rPr>
        <w:t xml:space="preserve"> </w:t>
      </w:r>
      <w:r>
        <w:rPr>
          <w:rFonts w:cs="Arial" w:ascii="Arial" w:hAnsi="Arial"/>
          <w:i/>
          <w:iCs/>
          <w:color w:val="000000"/>
          <w:sz w:val="20"/>
          <w:szCs w:val="20"/>
        </w:rPr>
        <w:t>22/11/2022</w:t>
      </w:r>
      <w:r>
        <w:rPr>
          <w:rFonts w:cs="Arial" w:ascii="Arial" w:hAnsi="Arial"/>
          <w:color w:val="000000"/>
          <w:sz w:val="20"/>
          <w:szCs w:val="20"/>
        </w:rPr>
        <w:t>.</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Após o interregno de um ano, e independentemente de pedido do Contratado, os preços iniciais serão reajustados, mediante a aplicação, pelo Contratante, do índic</w:t>
      </w:r>
      <w:r>
        <w:rPr>
          <w:rFonts w:cs="Arial" w:ascii="Arial" w:hAnsi="Arial"/>
          <w:color w:val="000000"/>
          <w:sz w:val="20"/>
          <w:szCs w:val="20"/>
        </w:rPr>
        <w:t xml:space="preserve">e </w:t>
      </w:r>
      <w:r>
        <w:rPr>
          <w:rFonts w:cs="Arial" w:ascii="Arial" w:hAnsi="Arial"/>
          <w:i/>
          <w:iCs/>
          <w:color w:val="000000"/>
          <w:sz w:val="20"/>
          <w:szCs w:val="20"/>
        </w:rPr>
        <w:t>IPCA-IBGE,</w:t>
      </w:r>
      <w:r>
        <w:rPr>
          <w:rFonts w:cs="Arial" w:ascii="Arial" w:hAnsi="Arial"/>
          <w:color w:val="000000"/>
          <w:sz w:val="20"/>
          <w:szCs w:val="20"/>
        </w:rPr>
        <w:t xml:space="preserve"> </w:t>
      </w:r>
      <w:r>
        <w:rPr>
          <w:rFonts w:cs="Arial" w:ascii="Arial" w:hAnsi="Arial"/>
          <w:sz w:val="20"/>
          <w:szCs w:val="20"/>
        </w:rPr>
        <w:t>exclusivamente para as obrigações iniciadas e concluídas após a ocorrência da anualidade</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Nos reajustes subsequentes ao primeiro, o interregno mínimo de um ano será contado a partir dos efeitos financeiros do último reajuste.</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Nas aferições finais, o(s) índice(s) utilizado(s) para reajuste será(ão), obrigatoriamente, o(s) definitivo(s).</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Caso o(s) índice(s) estabelecido(s) para reajustamento venha(m) a ser extinto(s) ou de qualquer forma não possa(m) mais ser utilizado(s), será(ão) adotado(s), em substituição, o(s) que vier(em) a ser determinado(s) pela legislação então em vigor.</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 xml:space="preserve">Na ausência de previsão legal quanto ao índice substituto, as partes elegerão novo índice oficial, para reajustamento do preço do valor remanescente, por meio de termo aditivo. </w:t>
      </w:r>
    </w:p>
    <w:p>
      <w:pPr>
        <w:pStyle w:val="Normal"/>
        <w:numPr>
          <w:ilvl w:val="1"/>
          <w:numId w:val="2"/>
        </w:numPr>
        <w:spacing w:lineRule="auto" w:line="276" w:before="120" w:after="120"/>
        <w:ind w:left="425" w:hanging="0"/>
        <w:jc w:val="both"/>
        <w:rPr>
          <w:rFonts w:ascii="Arial" w:hAnsi="Arial" w:cs="Arial"/>
          <w:sz w:val="20"/>
          <w:szCs w:val="20"/>
          <w:lang w:val="x-none" w:eastAsia="pt-BR"/>
        </w:rPr>
      </w:pPr>
      <w:r>
        <w:rPr>
          <w:rFonts w:cs="Arial" w:ascii="Arial" w:hAnsi="Arial"/>
          <w:sz w:val="20"/>
          <w:szCs w:val="20"/>
        </w:rPr>
        <w:t>O reajuste será realizado por apostilamento.</w:t>
      </w:r>
    </w:p>
    <w:p>
      <w:pPr>
        <w:pStyle w:val="Nivel01Titulo"/>
        <w:numPr>
          <w:ilvl w:val="0"/>
          <w:numId w:val="2"/>
        </w:numPr>
        <w:rPr>
          <w:rFonts w:cs="Arial"/>
        </w:rPr>
      </w:pPr>
      <w:r>
        <w:rPr>
          <w:rFonts w:cs="Arial"/>
        </w:rPr>
        <w:t>CLÁUSULA SÉTIMA - OBRIGAÇÕES DO CONTRATANTE (art. 92, X, XI e XIV)</w:t>
      </w:r>
    </w:p>
    <w:p>
      <w:pPr>
        <w:pStyle w:val="Normal"/>
        <w:numPr>
          <w:ilvl w:val="1"/>
          <w:numId w:val="2"/>
        </w:numPr>
        <w:spacing w:lineRule="auto" w:line="276" w:before="120" w:after="120"/>
        <w:ind w:left="425" w:hanging="0"/>
        <w:jc w:val="both"/>
        <w:rPr>
          <w:rFonts w:ascii="Arial" w:hAnsi="Arial" w:cs="Arial"/>
          <w:b/>
          <w:b/>
          <w:color w:val="000000"/>
          <w:sz w:val="20"/>
          <w:szCs w:val="20"/>
        </w:rPr>
      </w:pPr>
      <w:r>
        <w:rPr>
          <w:rFonts w:cs="Arial" w:ascii="Arial" w:hAnsi="Arial"/>
          <w:sz w:val="20"/>
          <w:szCs w:val="20"/>
        </w:rPr>
        <w:t>São obrigações do Contratante:</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sz w:val="20"/>
          <w:szCs w:val="20"/>
        </w:rPr>
        <w:t>Exigir</w:t>
      </w:r>
      <w:r>
        <w:rPr>
          <w:rFonts w:cs="Arial" w:ascii="Arial" w:hAnsi="Arial"/>
          <w:color w:val="000000"/>
          <w:sz w:val="20"/>
          <w:szCs w:val="20"/>
        </w:rPr>
        <w:t xml:space="preserve"> o cumprimento de todas as obrigações assumidas pelo Contratado, de acordo com o contrato e seus anexos;</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sz w:val="20"/>
          <w:szCs w:val="20"/>
        </w:rPr>
        <w:t>Receber o objeto no prazo e condições estabelecidas no Termo de Referência;</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color w:val="000000"/>
          <w:sz w:val="20"/>
          <w:szCs w:val="20"/>
        </w:rPr>
        <w:t>Notificar o Contratado</w:t>
      </w:r>
      <w:r>
        <w:rPr>
          <w:rFonts w:cs="Arial" w:ascii="Arial" w:hAnsi="Arial"/>
          <w:sz w:val="20"/>
          <w:szCs w:val="20"/>
        </w:rPr>
        <w:t>, por escrito, sobre vícios, defeitos ou incorreções verificadas no objeto fornecido, para que seja por ele substituído, reparado ou corrigido, no total ou em parte, às suas expensas;</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sz w:val="20"/>
          <w:szCs w:val="20"/>
        </w:rPr>
        <w:t>Acompanhar e fiscalizar a execução do contrato e o cumprimento das obrigações pelo Contratado</w:t>
      </w:r>
      <w:r>
        <w:rPr>
          <w:rFonts w:cs="Arial" w:ascii="Arial" w:hAnsi="Arial"/>
          <w:color w:val="000000"/>
          <w:sz w:val="20"/>
          <w:szCs w:val="20"/>
        </w:rPr>
        <w:t>;</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sz w:val="20"/>
          <w:szCs w:val="20"/>
        </w:rPr>
        <w:t>Efetuar o pagamento ao Contratado</w:t>
      </w:r>
      <w:r>
        <w:rPr>
          <w:rFonts w:cs="Arial" w:ascii="Arial" w:hAnsi="Arial"/>
          <w:b/>
          <w:sz w:val="20"/>
          <w:szCs w:val="20"/>
        </w:rPr>
        <w:t xml:space="preserve"> </w:t>
      </w:r>
      <w:r>
        <w:rPr>
          <w:rFonts w:cs="Arial" w:ascii="Arial" w:hAnsi="Arial"/>
          <w:sz w:val="20"/>
          <w:szCs w:val="20"/>
        </w:rPr>
        <w:t>do valor correspondente ao fornecimento do objeto, no prazo, forma e condições estabelecidos no presente Contrato;</w:t>
      </w:r>
    </w:p>
    <w:p>
      <w:pPr>
        <w:pStyle w:val="Normal"/>
        <w:numPr>
          <w:ilvl w:val="2"/>
          <w:numId w:val="2"/>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Aplicar ao Contratado sanções motivadas pela inexecução total ou parcial do Contrato;</w:t>
      </w:r>
    </w:p>
    <w:p>
      <w:pPr>
        <w:pStyle w:val="Normal"/>
        <w:numPr>
          <w:ilvl w:val="2"/>
          <w:numId w:val="2"/>
        </w:numPr>
        <w:spacing w:lineRule="auto" w:line="276" w:before="120" w:after="120"/>
        <w:jc w:val="both"/>
        <w:rPr>
          <w:rFonts w:ascii="Arial" w:hAnsi="Arial" w:cs="Arial"/>
          <w:color w:val="000000"/>
          <w:sz w:val="20"/>
          <w:szCs w:val="20"/>
        </w:rPr>
      </w:pPr>
      <w:r>
        <w:rPr>
          <w:rFonts w:cs="Arial" w:ascii="Arial" w:hAnsi="Arial"/>
          <w:color w:val="000000"/>
          <w:sz w:val="20"/>
          <w:szCs w:val="20"/>
        </w:rPr>
        <w:t xml:space="preserve">Cientificar o </w:t>
      </w:r>
      <w:r>
        <w:rPr>
          <w:rFonts w:cs="Arial" w:ascii="Arial" w:hAnsi="Arial"/>
          <w:bCs/>
          <w:color w:val="000000"/>
          <w:sz w:val="20"/>
          <w:szCs w:val="20"/>
        </w:rPr>
        <w:t>órgão</w:t>
      </w:r>
      <w:r>
        <w:rPr>
          <w:rFonts w:cs="Arial" w:ascii="Arial" w:hAnsi="Arial"/>
          <w:color w:val="000000"/>
          <w:sz w:val="20"/>
          <w:szCs w:val="20"/>
        </w:rPr>
        <w:t xml:space="preserve"> de representação judicial da Advocacia-Geral da União para adoção das medidas cabíveis quando do descumprimento de obrigações pelo Contratado;</w:t>
      </w:r>
    </w:p>
    <w:p>
      <w:pPr>
        <w:pStyle w:val="Normal"/>
        <w:numPr>
          <w:ilvl w:val="2"/>
          <w:numId w:val="2"/>
        </w:numPr>
        <w:spacing w:lineRule="auto" w:line="276" w:before="120" w:after="120"/>
        <w:jc w:val="both"/>
        <w:rPr>
          <w:rFonts w:ascii="Arial" w:hAnsi="Arial" w:cs="Arial"/>
          <w:bCs/>
          <w:color w:val="000000"/>
          <w:sz w:val="20"/>
          <w:szCs w:val="20"/>
        </w:rPr>
      </w:pPr>
      <w:r>
        <w:rPr>
          <w:rFonts w:cs="Arial" w:ascii="Arial" w:hAnsi="Arial"/>
          <w:bCs/>
          <w:color w:val="000000"/>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ormal"/>
        <w:numPr>
          <w:ilvl w:val="3"/>
          <w:numId w:val="2"/>
        </w:numPr>
        <w:spacing w:lineRule="auto" w:line="276" w:before="120" w:after="120"/>
        <w:jc w:val="both"/>
        <w:rPr>
          <w:rFonts w:ascii="Arial" w:hAnsi="Arial" w:cs="Arial"/>
          <w:b/>
          <w:b/>
          <w:color w:val="000000"/>
          <w:sz w:val="20"/>
          <w:szCs w:val="20"/>
        </w:rPr>
      </w:pPr>
      <w:r>
        <w:rPr>
          <w:rFonts w:cs="Arial" w:ascii="Arial" w:hAnsi="Arial"/>
          <w:bCs/>
          <w:color w:val="000000"/>
          <w:sz w:val="20"/>
          <w:szCs w:val="20"/>
        </w:rPr>
        <w:t xml:space="preserve">Concluída a instrução do requerimento, a Administração terá o prazo de </w:t>
      </w:r>
      <w:r>
        <w:rPr>
          <w:rFonts w:cs="Arial" w:ascii="Arial" w:hAnsi="Arial"/>
          <w:bCs/>
          <w:i/>
          <w:color w:val="000000"/>
          <w:sz w:val="20"/>
          <w:szCs w:val="20"/>
        </w:rPr>
        <w:t>5 (cinco) dias</w:t>
      </w:r>
      <w:r>
        <w:rPr>
          <w:rFonts w:cs="Arial" w:ascii="Arial" w:hAnsi="Arial"/>
          <w:bCs/>
          <w:color w:val="000000"/>
          <w:sz w:val="20"/>
          <w:szCs w:val="20"/>
        </w:rPr>
        <w:t xml:space="preserve"> para decidir, admitida a prorrogação motivada por igual período.</w:t>
      </w:r>
    </w:p>
    <w:p>
      <w:pPr>
        <w:pStyle w:val="Normal"/>
        <w:numPr>
          <w:ilvl w:val="2"/>
          <w:numId w:val="2"/>
        </w:numPr>
        <w:spacing w:lineRule="auto" w:line="276" w:before="120" w:after="120"/>
        <w:jc w:val="both"/>
        <w:rPr>
          <w:color w:val="000000"/>
        </w:rPr>
      </w:pPr>
      <w:r>
        <w:rPr>
          <w:rFonts w:cs="Arial" w:ascii="Arial" w:hAnsi="Arial"/>
          <w:bCs/>
          <w:i/>
          <w:color w:val="000000"/>
          <w:sz w:val="20"/>
          <w:szCs w:val="20"/>
        </w:rPr>
        <w:t>Notificar os emitentes das garantias quanto ao início de processo administrativo para apuração de descumprimento de cláusulas contratuais.</w:t>
      </w:r>
    </w:p>
    <w:p>
      <w:pPr>
        <w:pStyle w:val="Normal"/>
        <w:numPr>
          <w:ilvl w:val="2"/>
          <w:numId w:val="2"/>
        </w:numPr>
        <w:spacing w:lineRule="auto" w:line="276" w:before="120" w:after="120"/>
        <w:jc w:val="both"/>
        <w:rPr>
          <w:color w:val="000000"/>
        </w:rPr>
      </w:pPr>
      <w:r>
        <w:rPr>
          <w:rFonts w:cs="Arial" w:ascii="Arial" w:hAnsi="Arial"/>
          <w:i/>
          <w:iCs/>
          <w:color w:val="000000"/>
          <w:sz w:val="20"/>
          <w:szCs w:val="20"/>
        </w:rPr>
        <w:t>Comunicar o Contratado na hipótese de posterior alteração do projeto pelo Contratante, no caso do art. 93, §2º, da Lei nº 14.133/21.</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Titulo"/>
        <w:numPr>
          <w:ilvl w:val="0"/>
          <w:numId w:val="2"/>
        </w:numPr>
        <w:rPr>
          <w:rFonts w:cs="Arial"/>
        </w:rPr>
      </w:pPr>
      <w:r>
        <w:rPr>
          <w:rFonts w:cs="Arial"/>
        </w:rPr>
        <w:t>CLÁUSULA OITAVA - OBRIGAÇÕES DO CONTRATADO (art. 92, XIV, XVI e XVII)</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 Contratado deve cumprir todas as obrigações constantes deste Contrato, em seus anexos, assumindo como exclusivamente seus os riscos e as despesas decorrentes da boa e perfeita execução do objeto, observando, ainda, as obrigações a seguir dispostas:</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manter preposto aceito pela Administração no local da obra ou do serviço para representá-lo na execução do contrato.</w:t>
      </w:r>
    </w:p>
    <w:p>
      <w:pPr>
        <w:pStyle w:val="Normal"/>
        <w:numPr>
          <w:ilvl w:val="3"/>
          <w:numId w:val="2"/>
        </w:numPr>
        <w:spacing w:lineRule="auto" w:line="276" w:before="120" w:after="120"/>
        <w:jc w:val="both"/>
        <w:rPr>
          <w:rFonts w:ascii="Arial" w:hAnsi="Arial" w:cs="Arial"/>
          <w:color w:val="000000" w:themeColor="text1"/>
          <w:sz w:val="20"/>
          <w:szCs w:val="20"/>
        </w:rPr>
      </w:pPr>
      <w:r>
        <w:rPr>
          <w:rFonts w:cs="Arial" w:ascii="Arial" w:hAnsi="Arial"/>
          <w:sz w:val="20"/>
          <w:szCs w:val="20"/>
        </w:rPr>
        <w:t>A indicação ou a manutenção do preposto da empresa poderá ser recusada pelo órgão ou entidade, desde que devidamente justificada, devendo a empresa designar outro para o exercício da atividade.</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Atender às determinações regulares emitidas pelo fiscal do contrato ou autoridade superior (art. 137, II);</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Reparar, corrigir, remover, reconstruir ou substituir, às suas expensas, no total ou em parte, no prazo fixado pelo fiscal do contrato, os serviços nos quais se verificarem vícios, defeitos ou incorreções resultantes da execução ou dos materiais empregados;</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pPr>
        <w:pStyle w:val="Normal"/>
        <w:numPr>
          <w:ilvl w:val="2"/>
          <w:numId w:val="2"/>
        </w:numPr>
        <w:spacing w:lineRule="auto" w:line="276" w:before="120" w:after="120"/>
        <w:jc w:val="both"/>
        <w:rPr>
          <w:rFonts w:ascii="Arial" w:hAnsi="Arial" w:cs="Arial"/>
          <w:color w:val="000000" w:themeColor="text1"/>
          <w:sz w:val="20"/>
          <w:szCs w:val="20"/>
        </w:rPr>
      </w:pPr>
      <w:r>
        <w:rPr>
          <w:rFonts w:cs="Arial" w:ascii="Arial" w:hAnsi="Arial"/>
          <w:color w:val="000000" w:themeColor="text1"/>
          <w:sz w:val="20"/>
          <w:szCs w:val="20"/>
        </w:rPr>
        <w:t>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pPr>
        <w:pStyle w:val="Normal"/>
        <w:numPr>
          <w:ilvl w:val="2"/>
          <w:numId w:val="2"/>
        </w:numPr>
        <w:spacing w:lineRule="auto" w:line="276" w:before="120" w:after="120"/>
        <w:jc w:val="both"/>
        <w:rPr>
          <w:rFonts w:ascii="Arial" w:hAnsi="Arial" w:cs="Arial"/>
          <w:iCs/>
          <w:sz w:val="20"/>
          <w:szCs w:val="20"/>
        </w:rPr>
      </w:pPr>
      <w:r>
        <w:rPr>
          <w:rFonts w:cs="Arial" w:ascii="Arial" w:hAnsi="Arial"/>
          <w:iCs/>
          <w:color w:val="000000" w:themeColor="text1"/>
          <w:sz w:val="20"/>
          <w:szCs w:val="20"/>
        </w:rPr>
        <w:t xml:space="preserve">Quando não for possível a verificação da regularidade no Sistema de Cadastro </w:t>
      </w:r>
      <w:r>
        <w:rPr>
          <w:rFonts w:cs="Arial" w:ascii="Arial" w:hAnsi="Arial"/>
          <w:iCs/>
          <w:sz w:val="20"/>
          <w:szCs w:val="20"/>
        </w:rPr>
        <w:t xml:space="preserve">de Fornecedores – SICAF, a empresa contratada deverá entregar ao setor responsável pela fiscalização do contrato, até o dia trinta do mês seguinte ao da prestação dos serviços, os seguintes documentos: 1) prova de regularidade relativa à Seguridade </w:t>
      </w:r>
      <w:r>
        <w:rPr>
          <w:rFonts w:cs="Arial" w:ascii="Arial" w:hAnsi="Arial"/>
          <w:sz w:val="20"/>
          <w:szCs w:val="20"/>
        </w:rPr>
        <w:t>Social</w:t>
      </w:r>
      <w:r>
        <w:rPr>
          <w:rFonts w:cs="Arial" w:ascii="Arial" w:hAnsi="Arial"/>
          <w:iCs/>
          <w:sz w:val="20"/>
          <w:szCs w:val="20"/>
        </w:rPr>
        <w:t xml:space="preserve">;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pPr>
        <w:pStyle w:val="Normal"/>
        <w:numPr>
          <w:ilvl w:val="2"/>
          <w:numId w:val="2"/>
        </w:numPr>
        <w:spacing w:lineRule="auto" w:line="276" w:before="120" w:after="120"/>
        <w:jc w:val="both"/>
        <w:rPr>
          <w:rFonts w:ascii="Arial" w:hAnsi="Arial" w:cs="Arial"/>
          <w:iCs/>
          <w:sz w:val="20"/>
          <w:szCs w:val="20"/>
        </w:rPr>
      </w:pPr>
      <w:r>
        <w:rPr>
          <w:rFonts w:cs="Arial" w:ascii="Arial" w:hAnsi="Arial"/>
          <w:iCs/>
          <w:sz w:val="20"/>
          <w:szCs w:val="20"/>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pPr>
        <w:pStyle w:val="Normal"/>
        <w:numPr>
          <w:ilvl w:val="2"/>
          <w:numId w:val="2"/>
        </w:numPr>
        <w:spacing w:lineRule="auto" w:line="276" w:before="120" w:after="120"/>
        <w:jc w:val="both"/>
        <w:rPr>
          <w:rFonts w:ascii="Arial" w:hAnsi="Arial" w:cs="Arial"/>
          <w:sz w:val="20"/>
          <w:szCs w:val="20"/>
          <w:lang w:eastAsia="pt-BR"/>
        </w:rPr>
      </w:pPr>
      <w:r>
        <w:rPr>
          <w:rFonts w:cs="Arial" w:ascii="Arial" w:hAnsi="Arial"/>
          <w:sz w:val="20"/>
          <w:szCs w:val="20"/>
        </w:rPr>
        <w:t xml:space="preserve">Comunicar ao Fiscal do contrato, no prazo de 24 (vinte e quatro) horas, qualquer ocorrência anormal ou </w:t>
      </w:r>
      <w:r>
        <w:rPr>
          <w:rFonts w:cs="Arial" w:ascii="Arial" w:hAnsi="Arial"/>
          <w:color w:val="000000"/>
          <w:sz w:val="20"/>
          <w:szCs w:val="20"/>
        </w:rPr>
        <w:t>acidente</w:t>
      </w:r>
      <w:r>
        <w:rPr>
          <w:rFonts w:cs="Arial" w:ascii="Arial" w:hAnsi="Arial"/>
          <w:sz w:val="20"/>
          <w:szCs w:val="20"/>
        </w:rPr>
        <w:t xml:space="preserve"> que se verifique no local dos serviços.</w:t>
      </w:r>
    </w:p>
    <w:p>
      <w:pPr>
        <w:pStyle w:val="Normal"/>
        <w:numPr>
          <w:ilvl w:val="2"/>
          <w:numId w:val="2"/>
        </w:numPr>
        <w:spacing w:lineRule="auto" w:line="276" w:before="120" w:after="120"/>
        <w:jc w:val="both"/>
        <w:rPr>
          <w:rFonts w:ascii="Arial" w:hAnsi="Arial" w:cs="Arial"/>
          <w:color w:val="000000"/>
          <w:sz w:val="20"/>
          <w:szCs w:val="20"/>
        </w:rPr>
      </w:pPr>
      <w:r>
        <w:rPr>
          <w:rFonts w:cs="Arial" w:ascii="Arial" w:hAnsi="Arial"/>
          <w:sz w:val="20"/>
          <w:szCs w:val="20"/>
        </w:rPr>
        <w:t>Prestar todo esclarecimento ou informação solicitada pelo Contratante ou por seus prepostos, garantindo-lhes o acesso, a qualquer tempo, ao local dos trabalhos, bem como aos documentos relativos à execução do empreendimento.</w:t>
      </w:r>
    </w:p>
    <w:p>
      <w:pPr>
        <w:pStyle w:val="Normal"/>
        <w:numPr>
          <w:ilvl w:val="2"/>
          <w:numId w:val="2"/>
        </w:numPr>
        <w:spacing w:lineRule="auto" w:line="276" w:before="120" w:after="120"/>
        <w:jc w:val="both"/>
        <w:rPr>
          <w:rFonts w:ascii="Arial" w:hAnsi="Arial" w:cs="Arial"/>
          <w:color w:val="000000"/>
          <w:sz w:val="20"/>
          <w:szCs w:val="20"/>
        </w:rPr>
      </w:pPr>
      <w:r>
        <w:rPr>
          <w:rFonts w:cs="Arial" w:ascii="Arial" w:hAnsi="Arial"/>
          <w:sz w:val="20"/>
          <w:szCs w:val="20"/>
        </w:rPr>
        <w:t>Paralisar, por determinação do Contratante, qualquer atividade que não esteja sendo executada de acordo com a boa técnica ou que ponha em risco a segurança de pessoas ou bens de terceiros.</w:t>
      </w:r>
    </w:p>
    <w:p>
      <w:pPr>
        <w:pStyle w:val="Normal"/>
        <w:numPr>
          <w:ilvl w:val="2"/>
          <w:numId w:val="2"/>
        </w:numPr>
        <w:spacing w:lineRule="auto" w:line="276" w:before="120" w:after="120"/>
        <w:jc w:val="both"/>
        <w:rPr>
          <w:rFonts w:ascii="Arial" w:hAnsi="Arial" w:cs="Arial"/>
          <w:color w:val="000000"/>
          <w:sz w:val="20"/>
          <w:szCs w:val="20"/>
        </w:rPr>
      </w:pPr>
      <w:r>
        <w:rPr>
          <w:rFonts w:cs="Arial" w:ascii="Arial" w:hAnsi="Arial"/>
          <w:sz w:val="20"/>
          <w:szCs w:val="20"/>
        </w:rPr>
        <w:t>Promover a guarda, manutenção e vigilância de materiais, ferramentas, e tudo o que for necessário à execução do objeto, durante a vigência do contrato.</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Conduzir os trabalhos com estrita observância às normas da legislação pertinente, cumprindo as determinações dos Poderes Públicos, mantendo sempre limpo o local dos serviços e nas melhores condições de segurança, higiene e disciplina.</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Submeter previamente, por escrito, ao Contratante, para análise e aprovação, quaisquer mudanças nos métodos executivos que fujam às especificações do memorial descritivo ou instrumento congênere.</w:t>
      </w:r>
    </w:p>
    <w:p>
      <w:pPr>
        <w:pStyle w:val="Normal"/>
        <w:numPr>
          <w:ilvl w:val="2"/>
          <w:numId w:val="2"/>
        </w:numPr>
        <w:spacing w:lineRule="auto" w:line="276" w:before="120" w:after="120"/>
        <w:jc w:val="both"/>
        <w:rPr>
          <w:rFonts w:ascii="Arial" w:hAnsi="Arial" w:cs="Arial"/>
          <w:sz w:val="20"/>
          <w:szCs w:val="20"/>
        </w:rPr>
      </w:pPr>
      <w:r>
        <w:rPr>
          <w:rFonts w:cs="Arial" w:ascii="Arial" w:hAnsi="Arial"/>
          <w:color w:val="000000"/>
          <w:sz w:val="20"/>
          <w:szCs w:val="20"/>
        </w:rPr>
        <w:t xml:space="preserve">Não permitir a utilização de qualquer trabalho do menor de dezesseis anos, </w:t>
      </w:r>
      <w:r>
        <w:rPr>
          <w:rFonts w:cs="Arial" w:ascii="Arial" w:hAnsi="Arial"/>
          <w:sz w:val="20"/>
          <w:szCs w:val="20"/>
        </w:rPr>
        <w:t>exceto na condição de aprendiz para os maiores de quatorze anos, nem permitir a utilização do trabalho do menor de dezoito anos em trabalho noturno, perigoso ou insalubre;</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Manter durante toda a vigência do contrato, em compatibilidade com as obrigações assumidas, todas as condições exigidas para habilitação na licitação, ou para qualificação, na contratação direta; </w:t>
      </w:r>
    </w:p>
    <w:p>
      <w:pPr>
        <w:pStyle w:val="Normal"/>
        <w:numPr>
          <w:ilvl w:val="2"/>
          <w:numId w:val="2"/>
        </w:numPr>
        <w:spacing w:lineRule="auto" w:line="276" w:before="120" w:after="120"/>
        <w:jc w:val="both"/>
        <w:rPr>
          <w:rFonts w:ascii="Arial" w:hAnsi="Arial" w:cs="Arial"/>
          <w:b/>
          <w:b/>
          <w:bCs/>
          <w:sz w:val="20"/>
          <w:szCs w:val="20"/>
        </w:rPr>
      </w:pPr>
      <w:r>
        <w:rPr>
          <w:rFonts w:cs="Arial" w:ascii="Arial" w:hAnsi="Arial"/>
          <w:sz w:val="20"/>
          <w:szCs w:val="20"/>
        </w:rPr>
        <w:t>Cumprir, durante todo o período de execução do contrato, a reserva de cargos prevista em lei para pessoa com deficiência, para reabilitado da Previdência Social ou para aprendiz, bem como as reservas de cargos previstas na legislação (art. 116);</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Comprovar a reserva de cargos a que se refere a cláusula acima, no prazo fixado pelo fiscal do contrato, com a indicação dos empregados que preencheram as referidas vagas (art. 116, parágrafo único);</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Guardar sigilo sobre todas as informações obtidas em decorrência do cumprimento do contrato; </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Cumprir, além dos postulados legais vigentes de âmbito federal, estadual ou municipal, as normas de segurança do Contratante;</w:t>
      </w:r>
    </w:p>
    <w:p>
      <w:pPr>
        <w:pStyle w:val="Normal"/>
        <w:numPr>
          <w:ilvl w:val="2"/>
          <w:numId w:val="2"/>
        </w:numPr>
        <w:spacing w:lineRule="auto" w:line="276" w:before="120" w:after="120"/>
        <w:jc w:val="both"/>
        <w:rPr>
          <w:color w:val="000000"/>
        </w:rPr>
      </w:pPr>
      <w:r>
        <w:rPr>
          <w:rFonts w:cs="Arial" w:ascii="Arial" w:hAnsi="Arial"/>
          <w:i/>
          <w:iCs/>
          <w:color w:val="000000"/>
          <w:sz w:val="20"/>
          <w:szCs w:val="20"/>
        </w:rPr>
        <w:t>Suprimido</w:t>
      </w:r>
    </w:p>
    <w:p>
      <w:pPr>
        <w:pStyle w:val="Nivel01Titulo"/>
        <w:numPr>
          <w:ilvl w:val="0"/>
          <w:numId w:val="2"/>
        </w:numPr>
        <w:rPr>
          <w:color w:val="000000"/>
        </w:rPr>
      </w:pPr>
      <w:r>
        <w:rPr>
          <w:rFonts w:cs="Arial"/>
          <w:i/>
          <w:iCs/>
          <w:color w:val="000000"/>
        </w:rPr>
        <w:t>CLÁUSULA NONA- OBRIGAÇÕES PERTINENTES À LGPD</w:t>
      </w:r>
    </w:p>
    <w:p>
      <w:pPr>
        <w:pStyle w:val="Normal"/>
        <w:numPr>
          <w:ilvl w:val="1"/>
          <w:numId w:val="7"/>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pPr>
        <w:pStyle w:val="Normal"/>
        <w:numPr>
          <w:ilvl w:val="1"/>
          <w:numId w:val="7"/>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Os dados obtidos somente poderão ser utilizados para as finalidades que justificaram seu acesso e de acordo com a boa-fé e com os princípios do art. 6º da LGPD. </w:t>
      </w:r>
    </w:p>
    <w:p>
      <w:pPr>
        <w:pStyle w:val="Normal"/>
        <w:numPr>
          <w:ilvl w:val="1"/>
          <w:numId w:val="7"/>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É vedado o compartilhamento com terceiros dos dados obtidos fora das hipóteses permitidas em Lei.</w:t>
      </w:r>
    </w:p>
    <w:p>
      <w:pPr>
        <w:pStyle w:val="Normal"/>
        <w:numPr>
          <w:ilvl w:val="1"/>
          <w:numId w:val="7"/>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A Administração deverá ser informada no prazo de 5 (cinco) dias úteis sobre todos os contratos de suboperação firmados ou que venham a ser celebrados pelo Contratado. </w:t>
      </w:r>
    </w:p>
    <w:p>
      <w:pPr>
        <w:pStyle w:val="Normal"/>
        <w:numPr>
          <w:ilvl w:val="1"/>
          <w:numId w:val="7"/>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ormal"/>
        <w:numPr>
          <w:ilvl w:val="1"/>
          <w:numId w:val="7"/>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É dever do contratado orientar e treinar seus empregados sobre os deveres, requisitos e responsabilidades decorrentes da LGPD. </w:t>
      </w:r>
    </w:p>
    <w:p>
      <w:pPr>
        <w:pStyle w:val="Normal"/>
        <w:numPr>
          <w:ilvl w:val="1"/>
          <w:numId w:val="7"/>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O Contratado deverá exigir de suboperadores e subcontratados o cumprimento dos deveres da presente cláusula, permanecendo integralmente responsável por garantir sua observância.</w:t>
      </w:r>
    </w:p>
    <w:p>
      <w:pPr>
        <w:pStyle w:val="Normal"/>
        <w:numPr>
          <w:ilvl w:val="1"/>
          <w:numId w:val="7"/>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Contratante poderá realizar diligência para aferir o cumprimento dessa cláusula, devendo o Contratado atender prontamente eventuais pedidos de comprovação formulados. </w:t>
      </w:r>
    </w:p>
    <w:p>
      <w:pPr>
        <w:pStyle w:val="Normal"/>
        <w:numPr>
          <w:ilvl w:val="1"/>
          <w:numId w:val="7"/>
        </w:numPr>
        <w:tabs>
          <w:tab w:val="clear" w:pos="708"/>
          <w:tab w:val="left" w:pos="709" w:leader="none"/>
        </w:tabs>
        <w:spacing w:lineRule="auto" w:line="276" w:before="120" w:after="120"/>
        <w:ind w:left="851" w:hanging="360"/>
        <w:jc w:val="both"/>
        <w:rPr>
          <w:color w:val="000000"/>
        </w:rPr>
      </w:pPr>
      <w:r>
        <w:rPr>
          <w:rFonts w:eastAsia="Arial Unicode MS" w:cs="Arial" w:ascii="Arial" w:hAnsi="Arial"/>
          <w:i/>
          <w:iCs/>
          <w:color w:val="000000"/>
          <w:sz w:val="20"/>
          <w:szCs w:val="20"/>
          <w:lang w:eastAsia="pt-BR"/>
        </w:rPr>
        <w:t xml:space="preserve">O Contratado deverá prestar, no prazo fixado pelo Contratante, prorrogável justificadamente, quaisquer informações acerca dos dados pessoais para cumprimento da LGPD, inclusive quanto a eventual descarte realizado. </w:t>
      </w:r>
    </w:p>
    <w:p>
      <w:pPr>
        <w:pStyle w:val="Normal"/>
        <w:numPr>
          <w:ilvl w:val="1"/>
          <w:numId w:val="7"/>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  </w:t>
      </w:r>
    </w:p>
    <w:p>
      <w:pPr>
        <w:pStyle w:val="Normal"/>
        <w:numPr>
          <w:ilvl w:val="2"/>
          <w:numId w:val="7"/>
        </w:numPr>
        <w:spacing w:lineRule="auto" w:line="276" w:before="120" w:after="120"/>
        <w:ind w:left="1560" w:hanging="720"/>
        <w:jc w:val="both"/>
        <w:rPr>
          <w:color w:val="000000"/>
        </w:rPr>
      </w:pPr>
      <w:r>
        <w:rPr>
          <w:rFonts w:eastAsia="Arial Unicode MS" w:cs="Arial" w:ascii="Arial" w:hAnsi="Arial"/>
          <w:i/>
          <w:iCs/>
          <w:color w:val="000000"/>
          <w:sz w:val="20"/>
          <w:szCs w:val="20"/>
          <w:lang w:eastAsia="pt-BR"/>
        </w:rPr>
        <w:t xml:space="preserve">Os referidos bancos de dados devem ser desenvolvidos em formato interoperável, a fim de garantir a reutilização desses dados pela Administração nas hipóteses previstas na LGPD. </w:t>
      </w:r>
    </w:p>
    <w:p>
      <w:pPr>
        <w:pStyle w:val="Normal"/>
        <w:numPr>
          <w:ilvl w:val="1"/>
          <w:numId w:val="7"/>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pPr>
        <w:pStyle w:val="Normal"/>
        <w:numPr>
          <w:ilvl w:val="1"/>
          <w:numId w:val="7"/>
        </w:numPr>
        <w:tabs>
          <w:tab w:val="clear" w:pos="708"/>
          <w:tab w:val="left" w:pos="709" w:leader="none"/>
        </w:tabs>
        <w:spacing w:lineRule="auto" w:line="276" w:before="120" w:after="120"/>
        <w:ind w:left="851" w:hanging="425"/>
        <w:jc w:val="both"/>
        <w:rPr>
          <w:color w:val="000000"/>
        </w:rPr>
      </w:pPr>
      <w:r>
        <w:rPr>
          <w:rFonts w:eastAsia="Arial Unicode MS" w:cs="Arial" w:ascii="Arial" w:hAnsi="Arial"/>
          <w:i/>
          <w:iCs/>
          <w:color w:val="000000"/>
          <w:sz w:val="20"/>
          <w:szCs w:val="20"/>
          <w:lang w:eastAsia="pt-BR"/>
        </w:rPr>
        <w:t xml:space="preserve">Os contratos e convênios de que trata o § 1º do art. 26 da LGPD deverão ser comunicados à autoridade nacional. </w:t>
      </w:r>
    </w:p>
    <w:p>
      <w:pPr>
        <w:pStyle w:val="Nivel01Titulo"/>
        <w:numPr>
          <w:ilvl w:val="0"/>
          <w:numId w:val="2"/>
        </w:numPr>
        <w:rPr>
          <w:rFonts w:cs="Arial"/>
        </w:rPr>
      </w:pPr>
      <w:r>
        <w:rPr>
          <w:rFonts w:cs="Arial"/>
        </w:rPr>
        <w:t>CLÁUSULA DÉCIMA – GARANTIA DE EXECUÇÃO (art. 92, XII e XIII)</w:t>
      </w:r>
    </w:p>
    <w:p>
      <w:pPr>
        <w:pStyle w:val="Normal"/>
        <w:numPr>
          <w:ilvl w:val="1"/>
          <w:numId w:val="2"/>
        </w:numPr>
        <w:spacing w:lineRule="auto" w:line="276" w:before="120" w:after="120"/>
        <w:ind w:left="425" w:hanging="0"/>
        <w:jc w:val="both"/>
        <w:rPr/>
      </w:pPr>
      <w:r>
        <w:rPr>
          <w:rFonts w:cs="Arial" w:ascii="Arial" w:hAnsi="Arial"/>
          <w:i/>
          <w:color w:val="000000"/>
          <w:sz w:val="20"/>
          <w:szCs w:val="20"/>
        </w:rPr>
        <w:t>Não haverá exigência de garantia contratual da execução.</w:t>
      </w:r>
    </w:p>
    <w:p>
      <w:pPr>
        <w:pStyle w:val="Nivel01Titulo"/>
        <w:numPr>
          <w:ilvl w:val="0"/>
          <w:numId w:val="2"/>
        </w:numPr>
        <w:rPr>
          <w:rFonts w:cs="Arial"/>
        </w:rPr>
      </w:pPr>
      <w:r>
        <w:rPr>
          <w:rFonts w:cs="Arial"/>
        </w:rPr>
        <w:t>CLÁUSULA DÉCIMA PRIMEIRA – INFRAÇÕES E SANÇÕES ADMINISTRATIVAS (art. 92, XIV)</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Comete infração administrativa, nos termos da Lei nº 14.133, de 2021, o Contratado que:</w:t>
      </w:r>
    </w:p>
    <w:p>
      <w:pPr>
        <w:pStyle w:val="PargrafodaLista1"/>
        <w:numPr>
          <w:ilvl w:val="2"/>
          <w:numId w:val="75"/>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w:t>
      </w:r>
    </w:p>
    <w:p>
      <w:pPr>
        <w:pStyle w:val="PargrafodaLista1"/>
        <w:numPr>
          <w:ilvl w:val="2"/>
          <w:numId w:val="76"/>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parcial do contrato que cause grave dano à Administração ou ao funcionamento dos serviços públicos ou ao interesse coletivo;</w:t>
      </w:r>
    </w:p>
    <w:p>
      <w:pPr>
        <w:pStyle w:val="PargrafodaLista1"/>
        <w:numPr>
          <w:ilvl w:val="2"/>
          <w:numId w:val="77"/>
        </w:numPr>
        <w:spacing w:lineRule="auto" w:line="276" w:before="120" w:after="120"/>
        <w:ind w:left="1224" w:right="-30" w:hanging="504"/>
        <w:jc w:val="both"/>
        <w:rPr>
          <w:rFonts w:ascii="Arial" w:hAnsi="Arial" w:cs="Arial"/>
          <w:sz w:val="20"/>
          <w:szCs w:val="20"/>
        </w:rPr>
      </w:pPr>
      <w:r>
        <w:rPr>
          <w:rFonts w:cs="Arial" w:ascii="Arial" w:hAnsi="Arial"/>
          <w:sz w:val="20"/>
          <w:szCs w:val="20"/>
        </w:rPr>
        <w:t>der causa à inexecução total do contrato;</w:t>
      </w:r>
    </w:p>
    <w:p>
      <w:pPr>
        <w:pStyle w:val="PargrafodaLista1"/>
        <w:numPr>
          <w:ilvl w:val="2"/>
          <w:numId w:val="78"/>
        </w:numPr>
        <w:spacing w:lineRule="auto" w:line="276" w:before="120" w:after="120"/>
        <w:ind w:left="1224" w:right="-30" w:hanging="504"/>
        <w:jc w:val="both"/>
        <w:rPr>
          <w:rFonts w:ascii="Arial" w:hAnsi="Arial" w:cs="Arial"/>
          <w:sz w:val="20"/>
          <w:szCs w:val="20"/>
        </w:rPr>
      </w:pPr>
      <w:r>
        <w:rPr>
          <w:rFonts w:cs="Arial" w:ascii="Arial" w:hAnsi="Arial"/>
          <w:sz w:val="20"/>
          <w:szCs w:val="20"/>
        </w:rPr>
        <w:t>deixar de entregar a documentação exigida para o certame;</w:t>
      </w:r>
    </w:p>
    <w:p>
      <w:pPr>
        <w:pStyle w:val="PargrafodaLista1"/>
        <w:numPr>
          <w:ilvl w:val="2"/>
          <w:numId w:val="79"/>
        </w:numPr>
        <w:spacing w:lineRule="auto" w:line="276" w:before="120" w:after="120"/>
        <w:ind w:left="1224" w:right="-30" w:hanging="504"/>
        <w:jc w:val="both"/>
        <w:rPr>
          <w:rFonts w:ascii="Arial" w:hAnsi="Arial" w:cs="Arial"/>
          <w:sz w:val="20"/>
          <w:szCs w:val="20"/>
        </w:rPr>
      </w:pPr>
      <w:r>
        <w:rPr>
          <w:rFonts w:cs="Arial" w:ascii="Arial" w:hAnsi="Arial"/>
          <w:sz w:val="20"/>
          <w:szCs w:val="20"/>
        </w:rPr>
        <w:t>não manter a proposta, salvo em decorrência de fato superveniente devidamente justificado;</w:t>
      </w:r>
    </w:p>
    <w:p>
      <w:pPr>
        <w:pStyle w:val="PargrafodaLista1"/>
        <w:numPr>
          <w:ilvl w:val="2"/>
          <w:numId w:val="80"/>
        </w:numPr>
        <w:spacing w:lineRule="auto" w:line="276" w:before="120" w:after="120"/>
        <w:ind w:left="1224" w:right="-30" w:hanging="504"/>
        <w:jc w:val="both"/>
        <w:rPr>
          <w:rFonts w:ascii="Arial" w:hAnsi="Arial" w:cs="Arial"/>
          <w:sz w:val="20"/>
          <w:szCs w:val="20"/>
        </w:rPr>
      </w:pPr>
      <w:r>
        <w:rPr>
          <w:rFonts w:cs="Arial" w:ascii="Arial" w:hAnsi="Arial"/>
          <w:sz w:val="20"/>
          <w:szCs w:val="20"/>
        </w:rPr>
        <w:t>não celebrar o contrato ou não entregar a documentação exigida para a contratação, quando convocado dentro do prazo de validade de sua proposta;</w:t>
      </w:r>
    </w:p>
    <w:p>
      <w:pPr>
        <w:pStyle w:val="PargrafodaLista1"/>
        <w:numPr>
          <w:ilvl w:val="2"/>
          <w:numId w:val="81"/>
        </w:numPr>
        <w:spacing w:lineRule="auto" w:line="276" w:before="120" w:after="120"/>
        <w:ind w:left="1224" w:right="-30" w:hanging="504"/>
        <w:jc w:val="both"/>
        <w:rPr>
          <w:rFonts w:ascii="Arial" w:hAnsi="Arial" w:cs="Arial"/>
          <w:sz w:val="20"/>
          <w:szCs w:val="20"/>
        </w:rPr>
      </w:pPr>
      <w:r>
        <w:rPr>
          <w:rFonts w:cs="Arial" w:ascii="Arial" w:hAnsi="Arial"/>
          <w:sz w:val="20"/>
          <w:szCs w:val="20"/>
        </w:rPr>
        <w:t>ensejar o retardamento da execução ou da entrega do objeto da contratação sem motivo justificado;</w:t>
      </w:r>
    </w:p>
    <w:p>
      <w:pPr>
        <w:pStyle w:val="PargrafodaLista1"/>
        <w:numPr>
          <w:ilvl w:val="2"/>
          <w:numId w:val="82"/>
        </w:numPr>
        <w:spacing w:lineRule="auto" w:line="276" w:before="120" w:after="120"/>
        <w:ind w:left="1224" w:right="-30" w:hanging="504"/>
        <w:jc w:val="both"/>
        <w:rPr>
          <w:rFonts w:ascii="Arial" w:hAnsi="Arial" w:cs="Arial"/>
          <w:sz w:val="20"/>
          <w:szCs w:val="20"/>
        </w:rPr>
      </w:pPr>
      <w:r>
        <w:rPr>
          <w:rFonts w:cs="Arial" w:ascii="Arial" w:hAnsi="Arial"/>
          <w:sz w:val="20"/>
          <w:szCs w:val="20"/>
        </w:rPr>
        <w:t>apresentar declaração ou documentação falsa exigida para o certame ou prestar declaração falsa durante a dispensa eletrônica ou execução do contrato;</w:t>
      </w:r>
    </w:p>
    <w:p>
      <w:pPr>
        <w:pStyle w:val="PargrafodaLista1"/>
        <w:numPr>
          <w:ilvl w:val="2"/>
          <w:numId w:val="83"/>
        </w:numPr>
        <w:spacing w:lineRule="auto" w:line="276" w:before="120" w:after="120"/>
        <w:ind w:left="1224" w:right="-30" w:hanging="504"/>
        <w:jc w:val="both"/>
        <w:rPr>
          <w:rFonts w:ascii="Arial" w:hAnsi="Arial" w:cs="Arial"/>
          <w:sz w:val="20"/>
          <w:szCs w:val="20"/>
        </w:rPr>
      </w:pPr>
      <w:r>
        <w:rPr>
          <w:rFonts w:cs="Arial" w:ascii="Arial" w:hAnsi="Arial"/>
          <w:sz w:val="20"/>
          <w:szCs w:val="20"/>
        </w:rPr>
        <w:t>fraudar a contratação ou praticar ato fraudulento na execução do contrato;</w:t>
      </w:r>
    </w:p>
    <w:p>
      <w:pPr>
        <w:pStyle w:val="PargrafodaLista1"/>
        <w:numPr>
          <w:ilvl w:val="2"/>
          <w:numId w:val="84"/>
        </w:numPr>
        <w:spacing w:lineRule="auto" w:line="276" w:before="120" w:after="120"/>
        <w:ind w:left="1224" w:right="-30" w:hanging="504"/>
        <w:jc w:val="both"/>
        <w:rPr>
          <w:rFonts w:ascii="Arial" w:hAnsi="Arial" w:cs="Arial"/>
          <w:sz w:val="20"/>
          <w:szCs w:val="20"/>
        </w:rPr>
      </w:pPr>
      <w:r>
        <w:rPr>
          <w:rFonts w:cs="Arial" w:ascii="Arial" w:hAnsi="Arial"/>
          <w:sz w:val="20"/>
          <w:szCs w:val="20"/>
        </w:rPr>
        <w:t>comportar-se de modo inidôneo ou cometer fraude de qualquer natureza;</w:t>
      </w:r>
    </w:p>
    <w:p>
      <w:pPr>
        <w:pStyle w:val="PargrafodaLista1"/>
        <w:numPr>
          <w:ilvl w:val="2"/>
          <w:numId w:val="85"/>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atos ilícitos com vistas a frustrar os objetivos da contratação;</w:t>
      </w:r>
    </w:p>
    <w:p>
      <w:pPr>
        <w:pStyle w:val="PargrafodaLista1"/>
        <w:numPr>
          <w:ilvl w:val="2"/>
          <w:numId w:val="86"/>
        </w:numPr>
        <w:spacing w:lineRule="auto" w:line="276" w:before="120" w:after="120"/>
        <w:ind w:left="1224" w:right="-30" w:hanging="504"/>
        <w:jc w:val="both"/>
        <w:rPr>
          <w:rFonts w:ascii="Arial" w:hAnsi="Arial" w:cs="Arial"/>
          <w:sz w:val="20"/>
          <w:szCs w:val="20"/>
        </w:rPr>
      </w:pPr>
      <w:r>
        <w:rPr>
          <w:rFonts w:cs="Arial" w:ascii="Arial" w:hAnsi="Arial"/>
          <w:sz w:val="20"/>
          <w:szCs w:val="20"/>
        </w:rPr>
        <w:t>praticar ato lesivo previsto no art. 5º da Lei nº 12.846, de 1º de agosto de 2013.</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Serão aplicadas ao responsável pelas infrações administrativas acima descritas as seguintes sanções:</w:t>
      </w:r>
    </w:p>
    <w:p>
      <w:pPr>
        <w:pStyle w:val="Normal"/>
        <w:numPr>
          <w:ilvl w:val="2"/>
          <w:numId w:val="87"/>
        </w:numPr>
        <w:spacing w:lineRule="auto" w:line="276" w:before="120" w:after="120"/>
        <w:jc w:val="both"/>
        <w:rPr>
          <w:rFonts w:ascii="Arial" w:hAnsi="Arial" w:cs="Arial"/>
          <w:sz w:val="20"/>
          <w:szCs w:val="20"/>
        </w:rPr>
      </w:pPr>
      <w:r>
        <w:rPr>
          <w:rFonts w:cs="Arial" w:ascii="Arial" w:hAnsi="Arial"/>
          <w:b/>
          <w:bCs/>
          <w:sz w:val="20"/>
          <w:szCs w:val="20"/>
        </w:rPr>
        <w:t>Advertência</w:t>
      </w:r>
      <w:r>
        <w:rPr>
          <w:rFonts w:cs="Arial" w:ascii="Arial" w:hAnsi="Arial"/>
          <w:sz w:val="20"/>
          <w:szCs w:val="20"/>
        </w:rPr>
        <w:t>, quando o Contratado der causa à inexecução parcial do contrato, sempre que não se justificar a imposição de penalidade mais grave (art. 156, §2º, da Lei);</w:t>
      </w:r>
    </w:p>
    <w:p>
      <w:pPr>
        <w:pStyle w:val="Normal"/>
        <w:numPr>
          <w:ilvl w:val="2"/>
          <w:numId w:val="88"/>
        </w:numPr>
        <w:spacing w:lineRule="auto" w:line="276" w:before="120" w:after="120"/>
        <w:jc w:val="both"/>
        <w:rPr>
          <w:rFonts w:ascii="Arial" w:hAnsi="Arial" w:cs="Arial"/>
          <w:sz w:val="20"/>
          <w:szCs w:val="20"/>
        </w:rPr>
      </w:pPr>
      <w:r>
        <w:rPr>
          <w:rFonts w:cs="Arial" w:ascii="Arial" w:hAnsi="Arial"/>
          <w:b/>
          <w:bCs/>
          <w:sz w:val="20"/>
          <w:szCs w:val="20"/>
        </w:rPr>
        <w:t>Impedimento de licitar e contratar</w:t>
      </w:r>
      <w:r>
        <w:rPr>
          <w:rFonts w:cs="Arial" w:ascii="Arial" w:hAnsi="Arial"/>
          <w:sz w:val="20"/>
          <w:szCs w:val="20"/>
        </w:rPr>
        <w:t>, quando praticadas as condutas descritas nas alíneas b, c, d, e, f e g do subitem acima deste Contrato, sempre que não se justificar a imposição de penalidade mais grave (art. 156, §4º, da Lei);</w:t>
      </w:r>
    </w:p>
    <w:p>
      <w:pPr>
        <w:pStyle w:val="Normal"/>
        <w:numPr>
          <w:ilvl w:val="2"/>
          <w:numId w:val="89"/>
        </w:numPr>
        <w:spacing w:lineRule="auto" w:line="276" w:before="120" w:after="120"/>
        <w:jc w:val="both"/>
        <w:rPr>
          <w:rFonts w:ascii="Arial" w:hAnsi="Arial" w:cs="Arial"/>
          <w:sz w:val="20"/>
          <w:szCs w:val="20"/>
        </w:rPr>
      </w:pPr>
      <w:r>
        <w:rPr>
          <w:rFonts w:cs="Arial" w:ascii="Arial" w:hAnsi="Arial"/>
          <w:b/>
          <w:bCs/>
          <w:sz w:val="20"/>
          <w:szCs w:val="20"/>
        </w:rPr>
        <w:t>Declaração de inidoneidade para licitar e contratar</w:t>
      </w:r>
      <w:r>
        <w:rPr>
          <w:rFonts w:cs="Arial" w:ascii="Arial" w:hAnsi="Arial"/>
          <w:sz w:val="20"/>
          <w:szCs w:val="20"/>
        </w:rPr>
        <w:t>, quando praticadas as condutas descritas nas alíneas h, i, j, k e l do subitem acima deste Contrato, bem como nas alíneas b, c, d, e, f e g, que justifiquem a imposição de penalidade mais grave (art. 156, §5º, da Lei)</w:t>
      </w:r>
    </w:p>
    <w:p>
      <w:pPr>
        <w:pStyle w:val="Normal"/>
        <w:numPr>
          <w:ilvl w:val="2"/>
          <w:numId w:val="90"/>
        </w:numPr>
        <w:spacing w:lineRule="auto" w:line="276" w:before="120" w:after="120"/>
        <w:jc w:val="both"/>
        <w:rPr>
          <w:rFonts w:ascii="Arial" w:hAnsi="Arial" w:cs="Arial"/>
          <w:sz w:val="20"/>
          <w:szCs w:val="20"/>
        </w:rPr>
      </w:pPr>
      <w:r>
        <w:rPr>
          <w:rFonts w:cs="Arial" w:ascii="Arial" w:hAnsi="Arial"/>
          <w:b/>
          <w:bCs/>
          <w:sz w:val="20"/>
          <w:szCs w:val="20"/>
        </w:rPr>
        <w:t>Multa:</w:t>
      </w:r>
    </w:p>
    <w:p>
      <w:pPr>
        <w:pStyle w:val="Normal"/>
        <w:numPr>
          <w:ilvl w:val="3"/>
          <w:numId w:val="91"/>
        </w:numPr>
        <w:spacing w:lineRule="auto" w:line="276" w:before="120" w:after="120"/>
        <w:jc w:val="both"/>
        <w:rPr>
          <w:rFonts w:ascii="Arial" w:hAnsi="Arial" w:cs="Arial"/>
          <w:sz w:val="20"/>
          <w:szCs w:val="20"/>
        </w:rPr>
      </w:pPr>
      <w:r>
        <w:rPr>
          <w:rFonts w:cs="Arial" w:ascii="Arial" w:hAnsi="Arial"/>
          <w:sz w:val="20"/>
          <w:szCs w:val="20"/>
        </w:rPr>
        <w:t>moratória de</w:t>
      </w:r>
      <w:r>
        <w:rPr>
          <w:rFonts w:cs="Arial" w:ascii="Arial" w:hAnsi="Arial"/>
          <w:color w:val="000000"/>
          <w:sz w:val="20"/>
          <w:szCs w:val="20"/>
        </w:rPr>
        <w:t xml:space="preserve"> 1</w:t>
      </w:r>
      <w:r>
        <w:rPr>
          <w:rFonts w:cs="Arial" w:ascii="Arial" w:hAnsi="Arial"/>
          <w:sz w:val="20"/>
          <w:szCs w:val="20"/>
        </w:rPr>
        <w:t>% (</w:t>
      </w:r>
      <w:r>
        <w:rPr>
          <w:rFonts w:cs="Arial" w:ascii="Arial" w:hAnsi="Arial"/>
          <w:color w:val="000000"/>
          <w:sz w:val="20"/>
          <w:szCs w:val="20"/>
        </w:rPr>
        <w:t>um</w:t>
      </w:r>
      <w:r>
        <w:rPr>
          <w:rFonts w:cs="Arial" w:ascii="Arial" w:hAnsi="Arial"/>
          <w:sz w:val="20"/>
          <w:szCs w:val="20"/>
        </w:rPr>
        <w:t xml:space="preserve"> por cento) por dia de atraso injustificado sobre o valor da </w:t>
      </w:r>
      <w:r>
        <w:rPr>
          <w:rFonts w:cs="Arial" w:ascii="Arial" w:hAnsi="Arial"/>
          <w:color w:val="000000"/>
          <w:sz w:val="20"/>
          <w:szCs w:val="20"/>
        </w:rPr>
        <w:t>parcela inadimplida, até o limite de 30 (trinta) dias;</w:t>
      </w:r>
    </w:p>
    <w:p>
      <w:pPr>
        <w:pStyle w:val="Normal"/>
        <w:numPr>
          <w:ilvl w:val="3"/>
          <w:numId w:val="92"/>
        </w:numPr>
        <w:spacing w:lineRule="auto" w:line="276" w:before="120" w:after="120"/>
        <w:jc w:val="both"/>
        <w:rPr>
          <w:color w:val="000000"/>
        </w:rPr>
      </w:pPr>
      <w:r>
        <w:rPr>
          <w:rFonts w:cs="Arial" w:ascii="Arial" w:hAnsi="Arial"/>
          <w:i/>
          <w:iCs/>
          <w:color w:val="000000"/>
          <w:sz w:val="20"/>
          <w:szCs w:val="20"/>
        </w:rPr>
        <w:t xml:space="preserve">moratória de 1% (um por cento) por dia de atraso injustificado sobre o valor total do contrato, até o máximo de 30% (trinta por cento) pela inobservância do prazo fixado para apresentação, suplementação ou reposição da garantia. </w:t>
      </w:r>
    </w:p>
    <w:p>
      <w:pPr>
        <w:pStyle w:val="Normal"/>
        <w:numPr>
          <w:ilvl w:val="4"/>
          <w:numId w:val="93"/>
        </w:numPr>
        <w:spacing w:lineRule="auto" w:line="276" w:before="120" w:after="120"/>
        <w:jc w:val="both"/>
        <w:rPr>
          <w:rFonts w:ascii="Arial" w:hAnsi="Arial" w:cs="Arial"/>
          <w:i/>
          <w:i/>
          <w:iCs/>
          <w:color w:val="FF0000"/>
          <w:sz w:val="20"/>
          <w:szCs w:val="20"/>
        </w:rPr>
      </w:pPr>
      <w:r>
        <w:rPr>
          <w:rFonts w:cs="Arial" w:ascii="Arial" w:hAnsi="Arial"/>
          <w:i/>
          <w:iCs/>
          <w:color w:val="000000"/>
          <w:sz w:val="20"/>
          <w:szCs w:val="20"/>
        </w:rPr>
        <w:t>O atraso superior a 30 dias autoriza a Administração a promover a rescisão do contrato por descumprimento ou cumprimento irregular de suas cláusulas, conforme dispõe o inciso I do art. 137 da Lei n. 14.133, de 2021.</w:t>
      </w:r>
      <w:r>
        <w:rPr>
          <w:rFonts w:cs="Arial" w:ascii="Arial" w:hAnsi="Arial"/>
          <w:i/>
          <w:iCs/>
          <w:color w:val="FF0000"/>
          <w:sz w:val="20"/>
          <w:szCs w:val="20"/>
        </w:rPr>
        <w:t xml:space="preserve"> </w:t>
      </w:r>
    </w:p>
    <w:p>
      <w:pPr>
        <w:pStyle w:val="Normal"/>
        <w:numPr>
          <w:ilvl w:val="3"/>
          <w:numId w:val="94"/>
        </w:numPr>
        <w:spacing w:lineRule="auto" w:line="276" w:before="120" w:after="120"/>
        <w:jc w:val="both"/>
        <w:rPr>
          <w:rFonts w:ascii="Arial" w:hAnsi="Arial" w:cs="Arial"/>
          <w:sz w:val="20"/>
          <w:szCs w:val="20"/>
        </w:rPr>
      </w:pPr>
      <w:r>
        <w:rPr>
          <w:rFonts w:cs="Arial" w:ascii="Arial" w:hAnsi="Arial"/>
          <w:sz w:val="20"/>
          <w:szCs w:val="20"/>
        </w:rPr>
        <w:t xml:space="preserve">compensatória de </w:t>
      </w:r>
      <w:r>
        <w:rPr>
          <w:rFonts w:cs="Arial" w:ascii="Arial" w:hAnsi="Arial"/>
          <w:color w:val="000000"/>
          <w:sz w:val="20"/>
          <w:szCs w:val="20"/>
        </w:rPr>
        <w:t>30</w:t>
      </w:r>
      <w:r>
        <w:rPr>
          <w:rFonts w:cs="Arial" w:ascii="Arial" w:hAnsi="Arial"/>
          <w:sz w:val="20"/>
          <w:szCs w:val="20"/>
        </w:rPr>
        <w:t>% (trinta por cento) sobre o valor total do contrato, no caso de inexecução total do objeto;</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A aplicação das sanções previstas neste Contrato não exclui, em hipótese alguma, a obrigação de reparação integral do dano causado à Contratante (art. 156, §9º)</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Todas as sanções previstas neste Contrato poderão ser aplicadas cumulativamente com a multa (art. 156, §7º).</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Antes da aplicação da multa será facultada a defesa do interessado no prazo de 15 (quinze) dias úteis, contado da data de sua intimação (art. 157)</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pPr>
        <w:pStyle w:val="Normal"/>
        <w:numPr>
          <w:ilvl w:val="2"/>
          <w:numId w:val="2"/>
        </w:numPr>
        <w:spacing w:lineRule="auto" w:line="276" w:before="120" w:after="120"/>
        <w:jc w:val="both"/>
        <w:rPr>
          <w:rFonts w:ascii="Arial" w:hAnsi="Arial" w:cs="Arial"/>
          <w:sz w:val="20"/>
          <w:szCs w:val="20"/>
        </w:rPr>
      </w:pPr>
      <w:r>
        <w:rPr>
          <w:rFonts w:cs="Arial" w:ascii="Arial" w:hAnsi="Arial"/>
          <w:sz w:val="20"/>
          <w:szCs w:val="20"/>
        </w:rPr>
        <w:t xml:space="preserve">Previamente ao encaminhamento à cobrança judicial, a multa poderá ser recolhida administrativamente no prazo máximo de </w:t>
      </w:r>
      <w:r>
        <w:rPr>
          <w:rFonts w:cs="Arial" w:ascii="Arial" w:hAnsi="Arial"/>
          <w:i/>
          <w:iCs/>
          <w:color w:val="000000"/>
          <w:sz w:val="20"/>
          <w:szCs w:val="20"/>
        </w:rPr>
        <w:t xml:space="preserve">30 (trinta) </w:t>
      </w:r>
      <w:r>
        <w:rPr>
          <w:rFonts w:cs="Arial" w:ascii="Arial" w:hAnsi="Arial"/>
          <w:color w:val="000000"/>
          <w:sz w:val="20"/>
          <w:szCs w:val="20"/>
        </w:rPr>
        <w:t>d</w:t>
      </w:r>
      <w:r>
        <w:rPr>
          <w:rFonts w:cs="Arial" w:ascii="Arial" w:hAnsi="Arial"/>
          <w:sz w:val="20"/>
          <w:szCs w:val="20"/>
        </w:rPr>
        <w:t>ias, a contar da data do recebimento da comunicação enviada pela autoridade competente.</w:t>
      </w:r>
      <w:bookmarkStart w:id="0" w:name="_Hlk78351618"/>
      <w:bookmarkEnd w:id="0"/>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 xml:space="preserve">A aplicação das sanções realizar-se-á em processo administrativo que assegure o contraditório e a ampla defesa ao Contratado, observando-se o procedimento previsto no </w:t>
      </w:r>
      <w:r>
        <w:rPr>
          <w:rFonts w:cs="Arial" w:ascii="Arial" w:hAnsi="Arial"/>
          <w:b/>
          <w:bCs/>
          <w:sz w:val="20"/>
          <w:szCs w:val="20"/>
        </w:rPr>
        <w:t xml:space="preserve">caput </w:t>
      </w:r>
      <w:r>
        <w:rPr>
          <w:rFonts w:cs="Arial" w:ascii="Arial" w:hAnsi="Arial"/>
          <w:sz w:val="20"/>
          <w:szCs w:val="20"/>
        </w:rPr>
        <w:t>e parágrafos do art. 158 da Lei nº 14.133, de 2021, para as penalidades de impedimento de licitar e contratar e de declaração de inidoneidade para licitar ou contratar.</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Na aplicação das sanções serão considerados (art. 156, §1º) :</w:t>
      </w:r>
    </w:p>
    <w:p>
      <w:pPr>
        <w:pStyle w:val="ListParagraph"/>
        <w:numPr>
          <w:ilvl w:val="0"/>
          <w:numId w:val="5"/>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natureza e a gravidade da infração cometida;</w:t>
      </w:r>
    </w:p>
    <w:p>
      <w:pPr>
        <w:pStyle w:val="ListParagraph"/>
        <w:numPr>
          <w:ilvl w:val="0"/>
          <w:numId w:val="5"/>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peculiaridades do caso concreto;</w:t>
      </w:r>
    </w:p>
    <w:p>
      <w:pPr>
        <w:pStyle w:val="ListParagraph"/>
        <w:numPr>
          <w:ilvl w:val="0"/>
          <w:numId w:val="5"/>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as circunstâncias agravantes ou atenuantes;</w:t>
      </w:r>
    </w:p>
    <w:p>
      <w:pPr>
        <w:pStyle w:val="ListParagraph"/>
        <w:numPr>
          <w:ilvl w:val="0"/>
          <w:numId w:val="5"/>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os danos que dela provierem para o Contratante;</w:t>
      </w:r>
    </w:p>
    <w:p>
      <w:pPr>
        <w:pStyle w:val="ListParagraph"/>
        <w:numPr>
          <w:ilvl w:val="0"/>
          <w:numId w:val="5"/>
        </w:numPr>
        <w:spacing w:lineRule="auto" w:line="276" w:before="120" w:after="120"/>
        <w:ind w:left="1436" w:right="-30" w:hanging="360"/>
        <w:contextualSpacing/>
        <w:jc w:val="both"/>
        <w:rPr>
          <w:rFonts w:ascii="Arial" w:hAnsi="Arial" w:cs="Arial"/>
          <w:sz w:val="20"/>
          <w:szCs w:val="20"/>
        </w:rPr>
      </w:pPr>
      <w:r>
        <w:rPr>
          <w:rFonts w:cs="Arial" w:ascii="Arial" w:hAnsi="Arial"/>
          <w:sz w:val="20"/>
          <w:szCs w:val="20"/>
        </w:rPr>
        <w:t>a implantação ou o aperfeiçoamento de programa de integridade, conforme normas e orientações dos órgãos de controle.</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pPr>
        <w:pStyle w:val="Normal"/>
        <w:numPr>
          <w:ilvl w:val="1"/>
          <w:numId w:val="2"/>
        </w:numPr>
        <w:spacing w:lineRule="auto" w:line="276" w:before="120" w:after="120"/>
        <w:ind w:left="425" w:hanging="0"/>
        <w:jc w:val="both"/>
        <w:rPr>
          <w:rFonts w:ascii="Arial" w:hAnsi="Arial" w:cs="Arial"/>
          <w:i/>
          <w:i/>
          <w:sz w:val="20"/>
          <w:szCs w:val="20"/>
        </w:rPr>
      </w:pPr>
      <w:r>
        <w:rPr>
          <w:rFonts w:cs="Arial" w:ascii="Arial" w:hAnsi="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pPr>
        <w:pStyle w:val="Normal"/>
        <w:numPr>
          <w:ilvl w:val="1"/>
          <w:numId w:val="2"/>
        </w:numPr>
        <w:spacing w:lineRule="auto" w:line="276" w:before="120" w:after="120"/>
        <w:ind w:left="425" w:hanging="0"/>
        <w:jc w:val="both"/>
        <w:rPr>
          <w:rFonts w:ascii="Arial" w:hAnsi="Arial" w:cs="Arial"/>
          <w:i/>
          <w:i/>
          <w:sz w:val="20"/>
          <w:szCs w:val="20"/>
        </w:rPr>
      </w:pPr>
      <w:r>
        <w:rPr>
          <w:rFonts w:cs="Arial" w:ascii="Arial" w:hAnsi="Arial"/>
          <w:sz w:val="20"/>
          <w:szCs w:val="20"/>
        </w:rPr>
        <w:t xml:space="preserve"> </w:t>
      </w:r>
      <w:r>
        <w:rPr>
          <w:rFonts w:cs="Arial" w:ascii="Arial" w:hAnsi="Arial"/>
          <w:sz w:val="20"/>
          <w:szCs w:val="20"/>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pPr>
        <w:pStyle w:val="Normal"/>
        <w:numPr>
          <w:ilvl w:val="1"/>
          <w:numId w:val="2"/>
        </w:numPr>
        <w:spacing w:lineRule="auto" w:line="276" w:before="120" w:after="120"/>
        <w:ind w:left="425" w:hanging="0"/>
        <w:jc w:val="both"/>
        <w:rPr>
          <w:rFonts w:ascii="Arial" w:hAnsi="Arial" w:cs="Arial"/>
          <w:i/>
          <w:i/>
          <w:sz w:val="20"/>
          <w:szCs w:val="20"/>
        </w:rPr>
      </w:pPr>
      <w:r>
        <w:rPr>
          <w:rFonts w:cs="Arial" w:ascii="Arial" w:hAnsi="Arial"/>
          <w:sz w:val="20"/>
          <w:szCs w:val="20"/>
        </w:rPr>
        <w:t>As sanções de impedimento de licitar e contratar e declaração de inidoneidade para licitar ou contratar são passíveis de reabilitação na forma do art. 163 da Lei nº 14.133/21.</w:t>
      </w:r>
    </w:p>
    <w:p>
      <w:pPr>
        <w:pStyle w:val="Nivel01Titulo"/>
        <w:numPr>
          <w:ilvl w:val="0"/>
          <w:numId w:val="2"/>
        </w:numPr>
        <w:rPr>
          <w:rFonts w:cs="Arial"/>
        </w:rPr>
      </w:pPr>
      <w:r>
        <w:rPr>
          <w:rFonts w:cs="Arial"/>
        </w:rPr>
        <w:t>CLÁUSULA DÉCIMA SEGUNDA – DA EXTINÇÃO CONTRATUAL (art. 92, XIX)</w:t>
      </w:r>
    </w:p>
    <w:p>
      <w:pPr>
        <w:pStyle w:val="Normal"/>
        <w:rPr>
          <w:rFonts w:ascii="Arial" w:hAnsi="Arial" w:cs="Arial"/>
          <w:sz w:val="20"/>
          <w:szCs w:val="20"/>
          <w:lang w:eastAsia="pt-BR"/>
        </w:rPr>
      </w:pPr>
      <w:r>
        <w:rPr>
          <w:rFonts w:cs="Arial" w:ascii="Arial" w:hAnsi="Arial"/>
          <w:sz w:val="20"/>
          <w:szCs w:val="20"/>
          <w:lang w:eastAsia="pt-BR"/>
        </w:rPr>
      </w:r>
    </w:p>
    <w:p>
      <w:pPr>
        <w:pStyle w:val="Normal"/>
        <w:numPr>
          <w:ilvl w:val="1"/>
          <w:numId w:val="2"/>
        </w:numPr>
        <w:spacing w:lineRule="auto" w:line="276" w:before="120" w:after="120"/>
        <w:ind w:left="425" w:hanging="0"/>
        <w:jc w:val="both"/>
        <w:rPr>
          <w:color w:val="000000"/>
        </w:rPr>
      </w:pPr>
      <w:r>
        <w:rPr>
          <w:rFonts w:cs="Arial" w:ascii="Arial" w:hAnsi="Arial"/>
          <w:i/>
          <w:iCs/>
          <w:color w:val="000000"/>
          <w:sz w:val="20"/>
          <w:szCs w:val="20"/>
        </w:rPr>
        <w:t>O contrato se extingue quando cumpridas as obrigações de ambas as partes, ainda que isso ocorra antes do prazo estipulado para tanto.</w:t>
      </w:r>
    </w:p>
    <w:p>
      <w:pPr>
        <w:pStyle w:val="Normal"/>
        <w:numPr>
          <w:ilvl w:val="1"/>
          <w:numId w:val="2"/>
        </w:numPr>
        <w:spacing w:lineRule="auto" w:line="276" w:before="120" w:after="120"/>
        <w:ind w:left="425" w:hanging="0"/>
        <w:jc w:val="both"/>
        <w:rPr>
          <w:color w:val="000000"/>
        </w:rPr>
      </w:pPr>
      <w:r>
        <w:rPr>
          <w:rFonts w:cs="Arial" w:ascii="Arial" w:hAnsi="Arial"/>
          <w:i/>
          <w:iCs/>
          <w:color w:val="000000"/>
          <w:sz w:val="20"/>
          <w:szCs w:val="20"/>
        </w:rPr>
        <w:t>Se as obrigações não forem cumpridas no prazo estipulado, a vigência ficará prorrogada até a conclusão do objeto, caso em que deverá a Administração providenciar a readequação do cronograma físico-financeiro.</w:t>
      </w:r>
    </w:p>
    <w:p>
      <w:pPr>
        <w:pStyle w:val="Normal"/>
        <w:numPr>
          <w:ilvl w:val="2"/>
          <w:numId w:val="2"/>
        </w:numPr>
        <w:spacing w:lineRule="auto" w:line="276" w:before="120" w:after="120"/>
        <w:jc w:val="both"/>
        <w:rPr>
          <w:color w:val="000000"/>
        </w:rPr>
      </w:pPr>
      <w:r>
        <w:rPr>
          <w:rFonts w:cs="Arial" w:ascii="Arial" w:hAnsi="Arial"/>
          <w:i/>
          <w:iCs/>
          <w:color w:val="000000"/>
          <w:sz w:val="20"/>
          <w:szCs w:val="20"/>
        </w:rPr>
        <w:t>Quando a não conclusão do contrato referida no item anterior decorrer de culpa do contratado:</w:t>
      </w:r>
    </w:p>
    <w:p>
      <w:pPr>
        <w:pStyle w:val="ListParagraph"/>
        <w:numPr>
          <w:ilvl w:val="0"/>
          <w:numId w:val="6"/>
        </w:numPr>
        <w:spacing w:lineRule="auto" w:line="240"/>
        <w:ind w:left="1985" w:hanging="360"/>
        <w:jc w:val="both"/>
        <w:rPr>
          <w:color w:val="000000"/>
        </w:rPr>
      </w:pPr>
      <w:r>
        <w:rPr>
          <w:rFonts w:cs="Arial" w:ascii="Arial" w:hAnsi="Arial"/>
          <w:i/>
          <w:iCs/>
          <w:color w:val="000000"/>
          <w:sz w:val="20"/>
          <w:szCs w:val="20"/>
        </w:rPr>
        <w:t xml:space="preserve">ficará ele constituído em mora, sendo-lhe aplicáveis as respectivas sanções administrativas; e  </w:t>
      </w:r>
    </w:p>
    <w:p>
      <w:pPr>
        <w:pStyle w:val="ListParagraph"/>
        <w:numPr>
          <w:ilvl w:val="0"/>
          <w:numId w:val="6"/>
        </w:numPr>
        <w:spacing w:lineRule="auto" w:line="240"/>
        <w:ind w:left="1985" w:hanging="360"/>
        <w:jc w:val="both"/>
        <w:rPr>
          <w:color w:val="000000"/>
        </w:rPr>
      </w:pPr>
      <w:r>
        <w:rPr>
          <w:rFonts w:cs="Arial" w:ascii="Arial" w:hAnsi="Arial"/>
          <w:i/>
          <w:iCs/>
          <w:color w:val="000000"/>
          <w:sz w:val="20"/>
          <w:szCs w:val="20"/>
        </w:rPr>
        <w:t>poderá a Administração optar pela extinção do contrato e, nesse caso, adotará as medidas admitidas em lei para a continuidade da execução contratual.</w:t>
      </w:r>
    </w:p>
    <w:p>
      <w:pPr>
        <w:pStyle w:val="Nivel01Titulo"/>
        <w:numPr>
          <w:ilvl w:val="0"/>
          <w:numId w:val="2"/>
        </w:numPr>
        <w:rPr>
          <w:rFonts w:cs="Arial"/>
        </w:rPr>
      </w:pPr>
      <w:r>
        <w:rPr>
          <w:rFonts w:cs="Arial"/>
        </w:rPr>
        <w:t>CLÁUSULA DÉCIMA TERCEIRA – DOTAÇÃO ORÇAMENTÁRIA (art. 92, VIII)</w:t>
      </w:r>
    </w:p>
    <w:p>
      <w:pPr>
        <w:pStyle w:val="Normal"/>
        <w:numPr>
          <w:ilvl w:val="1"/>
          <w:numId w:val="95"/>
        </w:numPr>
        <w:spacing w:lineRule="auto" w:line="276" w:before="120" w:after="120"/>
        <w:jc w:val="both"/>
        <w:rPr>
          <w:rFonts w:ascii="Arial" w:hAnsi="Arial" w:cs="Arial"/>
          <w:sz w:val="20"/>
          <w:szCs w:val="20"/>
        </w:rPr>
      </w:pPr>
      <w:r>
        <w:rPr>
          <w:rFonts w:cs="Arial" w:ascii="Arial" w:hAnsi="Arial"/>
          <w:sz w:val="20"/>
          <w:szCs w:val="20"/>
        </w:rPr>
        <w:t>As despesas decorrentes da presente contratação correrão à conta de recursos específicos consignados no Orçamento Geral da União deste exercício, na dotação abaixo discriminada:</w:t>
      </w:r>
    </w:p>
    <w:p>
      <w:pPr>
        <w:pStyle w:val="Normal"/>
        <w:numPr>
          <w:ilvl w:val="0"/>
          <w:numId w:val="0"/>
        </w:numPr>
        <w:spacing w:lineRule="auto" w:line="276" w:before="0" w:after="0"/>
        <w:ind w:left="1493" w:right="0" w:hanging="0"/>
        <w:jc w:val="both"/>
        <w:rPr>
          <w:rFonts w:ascii="Arial" w:hAnsi="Arial" w:cs="Arial"/>
          <w:i/>
          <w:i/>
          <w:iCs/>
          <w:color w:val="000000"/>
          <w:sz w:val="20"/>
          <w:szCs w:val="20"/>
        </w:rPr>
      </w:pPr>
      <w:r>
        <w:rPr>
          <w:rFonts w:cs="Arial" w:ascii="Arial" w:hAnsi="Arial"/>
          <w:i/>
          <w:iCs/>
          <w:color w:val="000000"/>
          <w:sz w:val="20"/>
          <w:szCs w:val="20"/>
        </w:rPr>
        <w:t>Gestão/Unidade: 00002;</w:t>
      </w:r>
    </w:p>
    <w:p>
      <w:pPr>
        <w:pStyle w:val="Normal"/>
        <w:numPr>
          <w:ilvl w:val="0"/>
          <w:numId w:val="0"/>
        </w:numPr>
        <w:spacing w:lineRule="auto" w:line="276" w:before="0" w:after="0"/>
        <w:ind w:left="1210" w:right="0" w:hanging="0"/>
        <w:jc w:val="both"/>
        <w:rPr/>
      </w:pPr>
      <w:r>
        <w:rPr>
          <w:rFonts w:cs="Arial" w:ascii="Arial" w:hAnsi="Arial"/>
          <w:i/>
          <w:iCs/>
          <w:color w:val="000000"/>
          <w:sz w:val="20"/>
          <w:szCs w:val="20"/>
        </w:rPr>
        <w:t>Fonte de Recursos: 150270001;</w:t>
      </w:r>
    </w:p>
    <w:p>
      <w:pPr>
        <w:pStyle w:val="Normal"/>
        <w:widowControl/>
        <w:numPr>
          <w:ilvl w:val="0"/>
          <w:numId w:val="0"/>
        </w:numPr>
        <w:bidi w:val="0"/>
        <w:spacing w:lineRule="auto" w:line="276" w:before="0" w:after="0"/>
        <w:ind w:left="1210" w:right="0" w:hanging="0"/>
        <w:jc w:val="both"/>
        <w:rPr>
          <w:rFonts w:ascii="Arial" w:hAnsi="Arial" w:cs="Arial"/>
          <w:i/>
          <w:i/>
          <w:iCs/>
          <w:color w:val="000000"/>
          <w:sz w:val="20"/>
          <w:szCs w:val="20"/>
        </w:rPr>
      </w:pPr>
      <w:r>
        <w:rPr>
          <w:rFonts w:cs="Arial" w:ascii="Arial" w:hAnsi="Arial"/>
          <w:i/>
          <w:iCs/>
          <w:color w:val="000000"/>
          <w:sz w:val="20"/>
          <w:szCs w:val="20"/>
        </w:rPr>
        <w:t>Programa de Trabalho:171497;</w:t>
      </w:r>
    </w:p>
    <w:p>
      <w:pPr>
        <w:pStyle w:val="Normal"/>
        <w:numPr>
          <w:ilvl w:val="0"/>
          <w:numId w:val="0"/>
        </w:numPr>
        <w:spacing w:lineRule="auto" w:line="276" w:before="0" w:after="0"/>
        <w:ind w:left="1210" w:right="0" w:hanging="0"/>
        <w:jc w:val="both"/>
        <w:rPr/>
      </w:pPr>
      <w:r>
        <w:rPr>
          <w:rFonts w:cs="Arial" w:ascii="Arial" w:hAnsi="Arial"/>
          <w:i/>
          <w:iCs/>
          <w:color w:val="000000"/>
          <w:sz w:val="20"/>
          <w:szCs w:val="20"/>
        </w:rPr>
        <w:t>Elemento de Despesa: 33903950;</w:t>
      </w:r>
    </w:p>
    <w:p>
      <w:pPr>
        <w:pStyle w:val="Normal"/>
        <w:widowControl w:val="false"/>
        <w:numPr>
          <w:ilvl w:val="0"/>
          <w:numId w:val="0"/>
        </w:numPr>
        <w:tabs>
          <w:tab w:val="clear" w:pos="708"/>
          <w:tab w:val="left" w:pos="735" w:leader="none"/>
          <w:tab w:val="left" w:pos="1140" w:leader="none"/>
        </w:tabs>
        <w:spacing w:lineRule="auto" w:line="276" w:before="0" w:after="0"/>
        <w:ind w:left="1210" w:right="0" w:hanging="0"/>
        <w:jc w:val="both"/>
        <w:rPr>
          <w:rFonts w:ascii="Arial" w:hAnsi="Arial" w:cs="Arial"/>
          <w:sz w:val="20"/>
          <w:szCs w:val="20"/>
        </w:rPr>
      </w:pPr>
      <w:r>
        <w:rPr>
          <w:rFonts w:eastAsia="Times New Roman" w:cs="Arial" w:ascii="Arial" w:hAnsi="Arial"/>
          <w:b w:val="false"/>
          <w:bCs w:val="false"/>
          <w:i/>
          <w:iCs/>
          <w:color w:val="000000"/>
          <w:kern w:val="2"/>
          <w:sz w:val="20"/>
          <w:szCs w:val="20"/>
          <w:u w:val="none"/>
          <w:lang w:val="pt-BR" w:eastAsia="zh-CN" w:bidi="ar-SA"/>
        </w:rPr>
        <w:t xml:space="preserve">Plano Interno: </w:t>
      </w:r>
      <w:hyperlink r:id="rId3">
        <w:r>
          <w:rPr>
            <w:rStyle w:val="LinkdaInternet"/>
            <w:rFonts w:eastAsia="Times New Roman" w:cs="Arial" w:ascii="Arial" w:hAnsi="Arial"/>
            <w:b w:val="false"/>
            <w:i/>
            <w:iCs/>
            <w:caps w:val="false"/>
            <w:smallCaps w:val="false"/>
            <w:strike w:val="false"/>
            <w:dstrike w:val="false"/>
            <w:color w:val="000000"/>
            <w:spacing w:val="0"/>
            <w:kern w:val="2"/>
            <w:sz w:val="20"/>
            <w:szCs w:val="20"/>
            <w:u w:val="none"/>
            <w:shd w:fill="FFFFFF" w:val="clear"/>
            <w:lang w:val="pt-BR" w:eastAsia="zh-CN" w:bidi="ar-SA"/>
          </w:rPr>
          <w:t>D8SAFCTCCON</w:t>
        </w:r>
      </w:hyperlink>
      <w:r>
        <w:rPr>
          <w:rFonts w:eastAsia="Times New Roman" w:cs="Arial" w:ascii="Arial" w:hAnsi="Arial"/>
          <w:i/>
          <w:iCs/>
          <w:color w:val="000000"/>
          <w:kern w:val="2"/>
          <w:sz w:val="20"/>
          <w:szCs w:val="20"/>
          <w:lang w:val="pt-BR" w:eastAsia="zh-CN" w:bidi="ar-SA"/>
        </w:rPr>
        <w:t xml:space="preserve"> </w:t>
      </w:r>
      <w:r>
        <w:rPr>
          <w:rFonts w:eastAsia="Times New Roman" w:cs="Arial" w:ascii="Arial" w:hAnsi="Arial"/>
          <w:b w:val="false"/>
          <w:bCs w:val="false"/>
          <w:i/>
          <w:iCs/>
          <w:color w:val="000000"/>
          <w:kern w:val="2"/>
          <w:sz w:val="20"/>
          <w:szCs w:val="20"/>
          <w:u w:val="none"/>
          <w:lang w:val="pt-BR" w:eastAsia="zh-CN" w:bidi="ar-SA"/>
        </w:rPr>
        <w:t>;</w:t>
      </w:r>
    </w:p>
    <w:p>
      <w:pPr>
        <w:pStyle w:val="Normal"/>
        <w:numPr>
          <w:ilvl w:val="1"/>
          <w:numId w:val="96"/>
        </w:numPr>
        <w:spacing w:lineRule="auto" w:line="276" w:before="120" w:after="120"/>
        <w:jc w:val="both"/>
        <w:rPr>
          <w:color w:val="000000"/>
        </w:rPr>
      </w:pPr>
      <w:r>
        <w:rPr>
          <w:rFonts w:cs="Arial" w:ascii="Arial" w:hAnsi="Arial"/>
          <w:i/>
          <w:iCs/>
          <w:color w:val="000000"/>
          <w:sz w:val="20"/>
          <w:szCs w:val="20"/>
        </w:rPr>
        <w:t>A dotação relativa aos exercícios financeiros subsequentes será indicada após aprovação da Lei Orçamentária respectiva e liberação dos créditos correspondentes, mediante apostilamento.</w:t>
      </w:r>
    </w:p>
    <w:p>
      <w:pPr>
        <w:pStyle w:val="Nivel01Titulo"/>
        <w:numPr>
          <w:ilvl w:val="0"/>
          <w:numId w:val="2"/>
        </w:numPr>
        <w:rPr>
          <w:rFonts w:cs="Arial"/>
        </w:rPr>
      </w:pPr>
      <w:r>
        <w:rPr>
          <w:rFonts w:cs="Arial"/>
        </w:rPr>
        <w:t>CLÁUSULA DÉCIMA QUARTA – DOS CASOS OMISSOS (art. 92, III)</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pPr>
        <w:pStyle w:val="Nivel01Titulo"/>
        <w:numPr>
          <w:ilvl w:val="0"/>
          <w:numId w:val="2"/>
        </w:numPr>
        <w:rPr>
          <w:rFonts w:cs="Arial"/>
        </w:rPr>
      </w:pPr>
      <w:r>
        <w:rPr>
          <w:rFonts w:cs="Arial"/>
        </w:rPr>
        <w:t>CLÁUSULA DÉCIMA QUINTA – ALTERAÇÕES</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Eventuais alterações contratuais reger-se-ão pela disciplina dos arts. 124 e seguintes da Lei nº 14.133, de 2021.</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O CONTRATADO é obrigada a aceitar, nas mesmas condições contratuais, os acréscimos ou supressões que se fizerem necessários, até o limite de 25% (vinte e cinco por cento) do valor inicial atualizado do contrato.</w:t>
      </w:r>
    </w:p>
    <w:p>
      <w:pPr>
        <w:pStyle w:val="Normal"/>
        <w:numPr>
          <w:ilvl w:val="1"/>
          <w:numId w:val="2"/>
        </w:numPr>
        <w:spacing w:lineRule="auto" w:line="276" w:before="120" w:after="120"/>
        <w:jc w:val="both"/>
        <w:rPr>
          <w:rFonts w:ascii="Arial" w:hAnsi="Arial" w:cs="Arial"/>
          <w:sz w:val="20"/>
          <w:szCs w:val="20"/>
        </w:rPr>
      </w:pPr>
      <w:r>
        <w:rPr>
          <w:rFonts w:cs="Arial" w:ascii="Arial" w:hAnsi="Arial"/>
          <w:sz w:val="20"/>
          <w:szCs w:val="20"/>
        </w:rPr>
        <w:t>As supressões resultantes de acordo celebrado entre as partes contratantes poderão exceder o limite de 25% (vinte e cinco por cento) do valor inicial atualizado do termo de contrato.</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Registros que não caracterizam alteração do contrato podem ser realizados por simples apostila, dispensada a celebração de termo aditivo, na forma do art. 136 da Lei nº 14.133, de 2021.</w:t>
      </w:r>
    </w:p>
    <w:p>
      <w:pPr>
        <w:pStyle w:val="Nivel01Titulo"/>
        <w:numPr>
          <w:ilvl w:val="0"/>
          <w:numId w:val="2"/>
        </w:numPr>
        <w:rPr>
          <w:rFonts w:cs="Arial"/>
        </w:rPr>
      </w:pPr>
      <w:r>
        <w:rPr>
          <w:rFonts w:cs="Arial"/>
        </w:rPr>
        <w:t>CLÁUSULA DÉCIMA SEXTA – PUBLICAÇÃO</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Incumbirá à CONTRATANTE providenciar a publicação deste instrumento nos termos e condições previstas na Lei nº 14.133/21.</w:t>
      </w:r>
    </w:p>
    <w:p>
      <w:pPr>
        <w:pStyle w:val="Nivel01Titulo"/>
        <w:numPr>
          <w:ilvl w:val="0"/>
          <w:numId w:val="2"/>
        </w:numPr>
        <w:rPr>
          <w:rFonts w:cs="Arial"/>
        </w:rPr>
      </w:pPr>
      <w:r>
        <w:rPr>
          <w:rFonts w:cs="Arial"/>
        </w:rPr>
        <w:t>CLÁUSULA DÉCIMA SÉTIMA – FORO (art. 92, §1º)</w:t>
      </w:r>
    </w:p>
    <w:p>
      <w:pPr>
        <w:pStyle w:val="Normal"/>
        <w:numPr>
          <w:ilvl w:val="1"/>
          <w:numId w:val="2"/>
        </w:numPr>
        <w:spacing w:lineRule="auto" w:line="276" w:before="120" w:after="120"/>
        <w:ind w:left="425" w:hanging="0"/>
        <w:jc w:val="both"/>
        <w:rPr>
          <w:rFonts w:ascii="Arial" w:hAnsi="Arial" w:cs="Arial"/>
          <w:sz w:val="20"/>
          <w:szCs w:val="20"/>
        </w:rPr>
      </w:pPr>
      <w:r>
        <w:rPr>
          <w:rFonts w:cs="Arial" w:ascii="Arial" w:hAnsi="Arial"/>
          <w:sz w:val="20"/>
          <w:szCs w:val="20"/>
        </w:rPr>
        <w:t xml:space="preserve"> </w:t>
      </w:r>
      <w:r>
        <w:rPr>
          <w:rFonts w:cs="Arial" w:ascii="Arial" w:hAnsi="Arial"/>
          <w:sz w:val="20"/>
          <w:szCs w:val="20"/>
        </w:rPr>
        <w:t xml:space="preserve">É eleito o Foro da Justiça Federal em </w:t>
      </w:r>
      <w:r>
        <w:rPr>
          <w:rFonts w:cs="Arial" w:ascii="Arial" w:hAnsi="Arial"/>
          <w:color w:val="FF0000"/>
          <w:sz w:val="20"/>
          <w:szCs w:val="20"/>
        </w:rPr>
        <w:t>......</w:t>
      </w:r>
      <w:r>
        <w:rPr>
          <w:rFonts w:cs="Arial" w:ascii="Arial" w:hAnsi="Arial"/>
          <w:sz w:val="20"/>
          <w:szCs w:val="20"/>
        </w:rPr>
        <w:t>, Seção Judiciária de</w:t>
      </w:r>
      <w:r>
        <w:rPr>
          <w:rFonts w:cs="Arial" w:ascii="Arial" w:hAnsi="Arial"/>
          <w:color w:val="FF0000"/>
          <w:sz w:val="20"/>
          <w:szCs w:val="20"/>
        </w:rPr>
        <w:t>......</w:t>
      </w:r>
      <w:r>
        <w:rPr>
          <w:rFonts w:cs="Arial" w:ascii="Arial" w:hAnsi="Arial"/>
          <w:sz w:val="20"/>
          <w:szCs w:val="20"/>
        </w:rPr>
        <w:t xml:space="preserve"> para dirimir os litígios que decorrerem da execução deste Termo de Contrato que não possam ser compostos pela conciliação, conforme art. 92, §1º da Lei nº 14.133/21. </w:t>
      </w:r>
    </w:p>
    <w:p>
      <w:pPr>
        <w:pStyle w:val="Normal"/>
        <w:rPr>
          <w:rFonts w:ascii="Arial" w:hAnsi="Arial" w:cs="Arial"/>
          <w:sz w:val="20"/>
          <w:szCs w:val="20"/>
          <w:lang w:eastAsia="pt-BR"/>
        </w:rPr>
      </w:pPr>
      <w:r>
        <w:rPr>
          <w:rFonts w:cs="Arial" w:ascii="Arial" w:hAnsi="Arial"/>
          <w:sz w:val="20"/>
          <w:szCs w:val="20"/>
          <w:lang w:eastAsia="pt-BR"/>
        </w:rPr>
      </w:r>
    </w:p>
    <w:p>
      <w:pPr>
        <w:pStyle w:val="Normal"/>
        <w:spacing w:lineRule="auto" w:line="360" w:before="0" w:after="120"/>
        <w:ind w:right="-15" w:firstLine="540"/>
        <w:jc w:val="both"/>
        <w:rPr>
          <w:rFonts w:ascii="Arial" w:hAnsi="Arial" w:cs="Arial"/>
          <w:sz w:val="20"/>
          <w:szCs w:val="20"/>
        </w:rPr>
      </w:pPr>
      <w:r>
        <w:rPr>
          <w:rFonts w:cs="Arial" w:ascii="Arial" w:hAnsi="Arial"/>
          <w:sz w:val="20"/>
          <w:szCs w:val="20"/>
        </w:rPr>
      </w:r>
    </w:p>
    <w:p>
      <w:pPr>
        <w:pStyle w:val="Normal"/>
        <w:spacing w:lineRule="auto" w:line="360" w:before="0" w:after="120"/>
        <w:ind w:right="-15" w:hanging="0"/>
        <w:jc w:val="both"/>
        <w:rPr>
          <w:rFonts w:ascii="Arial" w:hAnsi="Arial" w:cs="Arial"/>
          <w:sz w:val="20"/>
          <w:szCs w:val="20"/>
        </w:rPr>
      </w:pPr>
      <w:r>
        <w:rPr>
          <w:rFonts w:cs="Arial" w:ascii="Arial" w:hAnsi="Arial"/>
          <w:sz w:val="20"/>
          <w:szCs w:val="20"/>
        </w:rPr>
        <w:t>...........................................,  .......... de.......................................... de 20.....</w:t>
      </w:r>
    </w:p>
    <w:p>
      <w:pPr>
        <w:pStyle w:val="Normal"/>
        <w:spacing w:before="0" w:after="120"/>
        <w:jc w:val="both"/>
        <w:rPr>
          <w:rFonts w:ascii="Arial" w:hAnsi="Arial" w:cs="Arial"/>
          <w:bCs/>
          <w:sz w:val="20"/>
          <w:szCs w:val="20"/>
        </w:rPr>
      </w:pPr>
      <w:r>
        <w:rPr>
          <w:rFonts w:cs="Arial" w:ascii="Arial" w:hAnsi="Arial"/>
          <w:bCs/>
          <w:sz w:val="20"/>
          <w:szCs w:val="20"/>
        </w:rPr>
      </w:r>
    </w:p>
    <w:p>
      <w:pPr>
        <w:pStyle w:val="Normal"/>
        <w:spacing w:before="0" w:after="120"/>
        <w:jc w:val="center"/>
        <w:rPr>
          <w:rFonts w:ascii="Arial" w:hAnsi="Arial" w:cs="Arial"/>
          <w:bCs/>
          <w:sz w:val="20"/>
          <w:szCs w:val="20"/>
        </w:rPr>
      </w:pPr>
      <w:r>
        <w:rPr>
          <w:rFonts w:cs="Arial" w:ascii="Arial" w:hAnsi="Arial"/>
          <w:bCs/>
          <w:sz w:val="20"/>
          <w:szCs w:val="20"/>
        </w:rPr>
        <w:t>_________________________</w:t>
      </w:r>
    </w:p>
    <w:p>
      <w:pPr>
        <w:pStyle w:val="Normal"/>
        <w:spacing w:before="0" w:after="120"/>
        <w:jc w:val="center"/>
        <w:rPr>
          <w:rFonts w:ascii="Arial" w:hAnsi="Arial" w:cs="Arial"/>
          <w:bCs/>
          <w:sz w:val="20"/>
          <w:szCs w:val="20"/>
        </w:rPr>
      </w:pPr>
      <w:r>
        <w:rPr>
          <w:rFonts w:cs="Arial" w:ascii="Arial" w:hAnsi="Arial"/>
          <w:bCs/>
          <w:sz w:val="20"/>
          <w:szCs w:val="20"/>
        </w:rPr>
        <w:t>Representante legal do CONTRATANTE</w:t>
      </w:r>
    </w:p>
    <w:p>
      <w:pPr>
        <w:pStyle w:val="Normal"/>
        <w:spacing w:before="0" w:after="120"/>
        <w:jc w:val="center"/>
        <w:rPr>
          <w:rFonts w:ascii="Arial" w:hAnsi="Arial" w:cs="Arial"/>
          <w:sz w:val="20"/>
          <w:szCs w:val="20"/>
        </w:rPr>
      </w:pPr>
      <w:r>
        <w:rPr>
          <w:rFonts w:cs="Arial" w:ascii="Arial" w:hAnsi="Arial"/>
          <w:sz w:val="20"/>
          <w:szCs w:val="20"/>
        </w:rPr>
        <w:t>_________________________</w:t>
      </w:r>
    </w:p>
    <w:p>
      <w:pPr>
        <w:pStyle w:val="Normal"/>
        <w:spacing w:before="0" w:after="120"/>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before="0" w:after="120"/>
        <w:jc w:val="both"/>
        <w:rPr>
          <w:rFonts w:ascii="Arial" w:hAnsi="Arial" w:cs="Arial"/>
          <w:i/>
          <w:i/>
          <w:iCs/>
          <w:color w:val="FF0000"/>
          <w:sz w:val="20"/>
          <w:szCs w:val="20"/>
        </w:rPr>
      </w:pPr>
      <w:r>
        <w:rPr>
          <w:rFonts w:cs="Arial" w:ascii="Arial" w:hAnsi="Arial"/>
          <w:i/>
          <w:iCs/>
          <w:color w:val="FF0000"/>
          <w:sz w:val="20"/>
          <w:szCs w:val="20"/>
        </w:rPr>
        <w:t>TESTEMUNHAS:</w:t>
      </w:r>
    </w:p>
    <w:p>
      <w:pPr>
        <w:pStyle w:val="Normal"/>
        <w:rPr>
          <w:rFonts w:ascii="Arial" w:hAnsi="Arial" w:cs="Arial"/>
          <w:i/>
          <w:i/>
          <w:iCs/>
          <w:color w:val="FF0000"/>
          <w:sz w:val="20"/>
          <w:szCs w:val="20"/>
        </w:rPr>
      </w:pPr>
      <w:r>
        <w:rPr>
          <w:rFonts w:cs="Arial" w:ascii="Arial" w:hAnsi="Arial"/>
          <w:i/>
          <w:iCs/>
          <w:color w:val="FF0000"/>
          <w:sz w:val="20"/>
          <w:szCs w:val="20"/>
        </w:rPr>
        <w:t>1-</w:t>
      </w:r>
    </w:p>
    <w:p>
      <w:pPr>
        <w:pStyle w:val="Normal"/>
        <w:rPr>
          <w:rFonts w:ascii="Arial" w:hAnsi="Arial" w:cs="Arial"/>
          <w:i/>
          <w:i/>
          <w:iCs/>
          <w:color w:val="FF0000"/>
          <w:sz w:val="20"/>
          <w:szCs w:val="20"/>
        </w:rPr>
      </w:pPr>
      <w:r>
        <w:rPr>
          <w:rFonts w:cs="Arial" w:ascii="Arial" w:hAnsi="Arial"/>
          <w:i/>
          <w:iCs/>
          <w:color w:val="FF0000"/>
          <w:sz w:val="20"/>
          <w:szCs w:val="20"/>
        </w:rPr>
        <w:t xml:space="preserve">2- </w:t>
      </w:r>
    </w:p>
    <w:p>
      <w:pPr>
        <w:pStyle w:val="Normal"/>
        <w:spacing w:before="0" w:after="120"/>
        <w:jc w:val="center"/>
        <w:rPr>
          <w:rFonts w:ascii="Arial" w:hAnsi="Arial" w:cs="Arial"/>
          <w:sz w:val="20"/>
          <w:szCs w:val="20"/>
        </w:rPr>
      </w:pPr>
      <w:r>
        <w:rPr>
          <w:rFonts w:cs="Arial" w:ascii="Arial" w:hAnsi="Arial"/>
          <w:sz w:val="20"/>
          <w:szCs w:val="20"/>
        </w:rPr>
      </w:r>
    </w:p>
    <w:p>
      <w:pPr>
        <w:pStyle w:val="Normal"/>
        <w:spacing w:before="0" w:after="160"/>
        <w:rPr>
          <w:rFonts w:ascii="Arial" w:hAnsi="Arial" w:cs="Arial"/>
          <w:sz w:val="20"/>
          <w:szCs w:val="20"/>
          <w:lang w:eastAsia="pt-BR"/>
        </w:rPr>
      </w:pPr>
      <w:r>
        <w:rPr/>
      </w:r>
    </w:p>
    <w:sectPr>
      <w:footerReference w:type="default" r:id="rId4"/>
      <w:type w:val="nextPage"/>
      <w:pgSz w:w="11906" w:h="16838"/>
      <w:pgMar w:left="1701" w:right="1701" w:header="0" w:top="1417" w:footer="708" w:bottom="1417"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Arial">
    <w:charset w:val="00"/>
    <w:family w:val="roman"/>
    <w:pitch w:val="variable"/>
  </w:font>
  <w:font w:name="Ecofont_Spranq_eco_Sans">
    <w:charset w:val="00"/>
    <w:family w:val="roman"/>
    <w:pitch w:val="variable"/>
  </w:font>
  <w:font w:name="Segoe UI">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Rodap"/>
      <w:rPr>
        <w:sz w:val="12"/>
        <w:szCs w:val="12"/>
      </w:rPr>
    </w:pPr>
    <w:r>
      <w:rPr>
        <w:sz w:val="12"/>
        <w:szCs w:val="12"/>
      </w:rPr>
      <w:t>Minuta Contratual – Lei nº 14.133/21 – Contratação Direta – Serviços sem Dedicação Exclusiva de Mão-de-Obra</w:t>
    </w:r>
  </w:p>
  <w:p>
    <w:pPr>
      <w:pStyle w:val="Rodap"/>
      <w:rPr/>
    </w:pPr>
    <w:r>
      <w:rPr>
        <w:sz w:val="12"/>
        <w:szCs w:val="12"/>
      </w:rPr>
      <w:t>Atualização: Junho/2022</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4">
    <w:lvl w:ilvl="0">
      <w:start w:val="1"/>
      <w:numFmt w:val="decimal"/>
      <w:lvlText w:val="%1."/>
      <w:lvlJc w:val="left"/>
      <w:pPr>
        <w:tabs>
          <w:tab w:val="num" w:pos="0"/>
        </w:tabs>
        <w:ind w:left="502" w:hanging="360"/>
      </w:pPr>
      <w:rPr>
        <w:dstrike w:val="false"/>
        <w:strike w:val="false"/>
        <w:i w:val="false"/>
        <w:u w:val="none"/>
        <w:b/>
        <w:effect w:val="none"/>
      </w:rPr>
    </w:lvl>
    <w:lvl w:ilvl="1">
      <w:start w:val="1"/>
      <w:numFmt w:val="decimal"/>
      <w:lvlText w:val="%1.%2."/>
      <w:lvlJc w:val="left"/>
      <w:pPr>
        <w:tabs>
          <w:tab w:val="num" w:pos="0"/>
        </w:tabs>
        <w:ind w:left="858" w:hanging="432"/>
      </w:pPr>
      <w:rPr>
        <w:dstrike w:val="false"/>
        <w:strike w:val="false"/>
        <w:u w:val="none"/>
        <w:b w:val="false"/>
        <w:effect w:val="none"/>
      </w:rPr>
    </w:lvl>
    <w:lvl w:ilvl="2">
      <w:start w:val="1"/>
      <w:numFmt w:val="decimal"/>
      <w:lvlText w:val="%1.%2.%3."/>
      <w:lvlJc w:val="left"/>
      <w:pPr>
        <w:tabs>
          <w:tab w:val="num" w:pos="0"/>
        </w:tabs>
        <w:ind w:left="1224" w:hanging="504"/>
      </w:pPr>
      <w:rPr>
        <w:dstrike w:val="false"/>
        <w:strike w:val="false"/>
        <w:i w:val="false"/>
        <w:u w:val="none"/>
        <w:effect w:val="non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4">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8">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2">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6">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7">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8">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1">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4">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5">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7">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8">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9">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0">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1">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i w:val="false"/>
        <w:b w:val="false"/>
      </w:rPr>
    </w:lvl>
    <w:lvl w:ilvl="2">
      <w:start w:val="1"/>
      <w:numFmt w:val="lowerLetter"/>
      <w:lvlText w:val="%3)"/>
      <w:lvlJc w:val="left"/>
      <w:pPr>
        <w:tabs>
          <w:tab w:val="num" w:pos="0"/>
        </w:tabs>
        <w:ind w:left="1224" w:hanging="504"/>
      </w:pPr>
      <w:rPr>
        <w:b w:val="false"/>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2">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3">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4">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5">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6">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7">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9">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false"/>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0">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lvl w:ilvl="0">
      <w:start w:val="1"/>
      <w:numFmt w:val="decimal"/>
      <w:lvlText w:val="%1."/>
      <w:lvlJc w:val="left"/>
      <w:pPr>
        <w:tabs>
          <w:tab w:val="num" w:pos="0"/>
        </w:tabs>
        <w:ind w:left="360" w:hanging="360"/>
      </w:pPr>
      <w:rPr>
        <w:i w:val="false"/>
        <w:b/>
      </w:rPr>
    </w:lvl>
    <w:lvl w:ilvl="1">
      <w:start w:val="1"/>
      <w:numFmt w:val="decimal"/>
      <w:suff w:val="space"/>
      <w:lvlText w:val="%1.%2."/>
      <w:lvlJc w:val="left"/>
      <w:pPr>
        <w:tabs>
          <w:tab w:val="num" w:pos="0"/>
        </w:tabs>
        <w:ind w:left="426" w:hanging="0"/>
      </w:pPr>
      <w:rPr>
        <w:i w:val="false"/>
        <w:b w:val="false"/>
        <w:color w:val="auto"/>
      </w:rPr>
    </w:lvl>
    <w:lvl w:ilvl="2">
      <w:start w:val="1"/>
      <w:numFmt w:val="decimal"/>
      <w:suff w:val="space"/>
      <w:lvlText w:val="%1.%2.%3."/>
      <w:lvlJc w:val="left"/>
      <w:pPr>
        <w:tabs>
          <w:tab w:val="num" w:pos="0"/>
        </w:tabs>
        <w:ind w:left="1135" w:hanging="0"/>
      </w:pPr>
      <w:rPr>
        <w:i w:val="false"/>
        <w:b w:val="false"/>
        <w:color w:val="auto"/>
      </w:rPr>
    </w:lvl>
    <w:lvl w:ilvl="3">
      <w:start w:val="1"/>
      <w:numFmt w:val="decimal"/>
      <w:suff w:val="space"/>
      <w:lvlText w:val="%1.%2.%3.%4."/>
      <w:lvlJc w:val="left"/>
      <w:pPr>
        <w:tabs>
          <w:tab w:val="num" w:pos="0"/>
        </w:tabs>
        <w:ind w:left="1702" w:hanging="0"/>
      </w:pPr>
      <w:rPr>
        <w:i w:val="false"/>
        <w:b w:val="false"/>
        <w:bCs/>
      </w:rPr>
    </w:lvl>
    <w:lvl w:ilvl="4">
      <w:start w:val="1"/>
      <w:numFmt w:val="decimal"/>
      <w:suff w:val="space"/>
      <w:lvlText w:val="%1.%2.%3.%4.%5."/>
      <w:lvlJc w:val="left"/>
      <w:pPr>
        <w:tabs>
          <w:tab w:val="num" w:pos="0"/>
        </w:tabs>
        <w:ind w:left="1134" w:hanging="0"/>
      </w:pPr>
      <w:rPr>
        <w:i w:val="false"/>
        <w:b/>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2"/>
    <w:lvlOverride w:ilvl="2">
      <w:startOverride w:val="1"/>
    </w:lvlOverride>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30"/>
    <w:lvlOverride w:ilvl="2">
      <w:startOverride w:val="1"/>
    </w:lvlOverride>
  </w:num>
  <w:num w:numId="76">
    <w:abstractNumId w:val="30"/>
  </w:num>
  <w:num w:numId="77">
    <w:abstractNumId w:val="30"/>
  </w:num>
  <w:num w:numId="78">
    <w:abstractNumId w:val="30"/>
  </w:num>
  <w:num w:numId="79">
    <w:abstractNumId w:val="30"/>
  </w:num>
  <w:num w:numId="80">
    <w:abstractNumId w:val="30"/>
  </w:num>
  <w:num w:numId="81">
    <w:abstractNumId w:val="30"/>
  </w:num>
  <w:num w:numId="82">
    <w:abstractNumId w:val="30"/>
  </w:num>
  <w:num w:numId="83">
    <w:abstractNumId w:val="30"/>
  </w:num>
  <w:num w:numId="84">
    <w:abstractNumId w:val="30"/>
  </w:num>
  <w:num w:numId="85">
    <w:abstractNumId w:val="30"/>
  </w:num>
  <w:num w:numId="86">
    <w:abstractNumId w:val="30"/>
  </w:num>
  <w:num w:numId="87">
    <w:abstractNumId w:val="42"/>
    <w:lvlOverride w:ilvl="2">
      <w:startOverride w:val="1"/>
    </w:lvlOverride>
  </w:num>
  <w:num w:numId="88">
    <w:abstractNumId w:val="42"/>
  </w:num>
  <w:num w:numId="89">
    <w:abstractNumId w:val="42"/>
  </w:num>
  <w:num w:numId="90">
    <w:abstractNumId w:val="42"/>
  </w:num>
  <w:num w:numId="91">
    <w:abstractNumId w:val="42"/>
  </w:num>
  <w:num w:numId="92">
    <w:abstractNumId w:val="42"/>
  </w:num>
  <w:num w:numId="93">
    <w:abstractNumId w:val="42"/>
  </w:num>
  <w:num w:numId="94">
    <w:abstractNumId w:val="42"/>
  </w:num>
  <w:num w:numId="95">
    <w:abstractNumId w:val="2"/>
  </w:num>
  <w:num w:numId="96">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ac671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Ttulo1">
    <w:name w:val="Heading 1"/>
    <w:basedOn w:val="Normal"/>
    <w:next w:val="Normal"/>
    <w:link w:val="Ttulo1Char"/>
    <w:uiPriority w:val="9"/>
    <w:qFormat/>
    <w:rsid w:val="00d96ec9"/>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CabealhoChar" w:customStyle="1">
    <w:name w:val="Cabeçalho Char"/>
    <w:basedOn w:val="DefaultParagraphFont"/>
    <w:link w:val="Cabealho"/>
    <w:uiPriority w:val="99"/>
    <w:qFormat/>
    <w:rsid w:val="00397ef2"/>
    <w:rPr/>
  </w:style>
  <w:style w:type="character" w:styleId="RodapChar" w:customStyle="1">
    <w:name w:val="Rodapé Char"/>
    <w:basedOn w:val="DefaultParagraphFont"/>
    <w:link w:val="Rodap"/>
    <w:uiPriority w:val="99"/>
    <w:qFormat/>
    <w:rsid w:val="00397ef2"/>
    <w:rPr/>
  </w:style>
  <w:style w:type="character" w:styleId="GradeColoridanfase1Char" w:customStyle="1">
    <w:name w:val="Grade Colorida - Ênfase 1 Char"/>
    <w:link w:val="GradeColorida-nfase11"/>
    <w:uiPriority w:val="29"/>
    <w:qFormat/>
    <w:rsid w:val="00d96ec9"/>
    <w:rPr>
      <w:rFonts w:ascii="Arial" w:hAnsi="Arial" w:eastAsia="Calibri" w:cs="Times New Roman"/>
      <w:i/>
      <w:iCs/>
      <w:color w:val="000000"/>
      <w:sz w:val="20"/>
      <w:szCs w:val="24"/>
      <w:shd w:fill="FFFFCC" w:val="clear"/>
      <w:lang w:val="x-none"/>
    </w:rPr>
  </w:style>
  <w:style w:type="character" w:styleId="Nivel01TituloChar" w:customStyle="1">
    <w:name w:val="Nivel_01_Titulo Char"/>
    <w:basedOn w:val="Ttulo1Char"/>
    <w:link w:val="Nivel01Titulo"/>
    <w:qFormat/>
    <w:rsid w:val="00d96ec9"/>
    <w:rPr>
      <w:rFonts w:ascii="Arial" w:hAnsi="Arial" w:eastAsia="" w:cs="Times New Roman" w:eastAsiaTheme="majorEastAsia"/>
      <w:b/>
      <w:bCs/>
      <w:color w:val="2F5496" w:themeColor="accent1" w:themeShade="bf"/>
      <w:sz w:val="20"/>
      <w:szCs w:val="20"/>
      <w:lang w:eastAsia="pt-BR"/>
    </w:rPr>
  </w:style>
  <w:style w:type="character" w:styleId="Ttulo1Char" w:customStyle="1">
    <w:name w:val="Título 1 Char"/>
    <w:basedOn w:val="DefaultParagraphFont"/>
    <w:link w:val="Ttulo1"/>
    <w:uiPriority w:val="9"/>
    <w:qFormat/>
    <w:rsid w:val="00d96ec9"/>
    <w:rPr>
      <w:rFonts w:ascii="Calibri Light" w:hAnsi="Calibri Light" w:eastAsia="" w:cs="" w:asciiTheme="majorHAnsi" w:cstheme="majorBidi" w:eastAsiaTheme="majorEastAsia" w:hAnsiTheme="majorHAnsi"/>
      <w:color w:val="2F5496" w:themeColor="accent1" w:themeShade="bf"/>
      <w:sz w:val="32"/>
      <w:szCs w:val="32"/>
    </w:rPr>
  </w:style>
  <w:style w:type="character" w:styleId="TextodecomentrioChar" w:customStyle="1">
    <w:name w:val="Texto de comentário Char"/>
    <w:basedOn w:val="DefaultParagraphFont"/>
    <w:link w:val="Textodecomentrio"/>
    <w:uiPriority w:val="99"/>
    <w:qFormat/>
    <w:rsid w:val="006e7af1"/>
    <w:rPr>
      <w:sz w:val="20"/>
      <w:szCs w:val="20"/>
    </w:rPr>
  </w:style>
  <w:style w:type="character" w:styleId="CitaoChar" w:customStyle="1">
    <w:name w:val="Citação Char"/>
    <w:basedOn w:val="DefaultParagraphFont"/>
    <w:link w:val="Citao"/>
    <w:qFormat/>
    <w:rsid w:val="006e7af1"/>
    <w:rPr>
      <w:rFonts w:ascii="Ecofont_Spranq_eco_Sans" w:hAnsi="Ecofont_Spranq_eco_Sans" w:eastAsia="Calibri" w:cs="Tahoma"/>
      <w:i/>
      <w:iCs/>
      <w:color w:val="000000"/>
      <w:sz w:val="20"/>
      <w:szCs w:val="24"/>
      <w:shd w:fill="FFFFCC" w:val="clear"/>
    </w:rPr>
  </w:style>
  <w:style w:type="character" w:styleId="Annotationreference">
    <w:name w:val="annotation reference"/>
    <w:basedOn w:val="DefaultParagraphFont"/>
    <w:uiPriority w:val="99"/>
    <w:unhideWhenUsed/>
    <w:qFormat/>
    <w:rsid w:val="006e7af1"/>
    <w:rPr>
      <w:sz w:val="16"/>
      <w:szCs w:val="16"/>
    </w:rPr>
  </w:style>
  <w:style w:type="character" w:styleId="Citao2Char" w:customStyle="1">
    <w:name w:val="citação 2 Char"/>
    <w:basedOn w:val="CitaoChar"/>
    <w:link w:val="citao2"/>
    <w:qFormat/>
    <w:rsid w:val="00791789"/>
    <w:rPr>
      <w:rFonts w:ascii="Arial" w:hAnsi="Arial" w:eastAsia="Calibri" w:cs="Tahoma"/>
      <w:i/>
      <w:iCs/>
      <w:color w:val="000000"/>
      <w:sz w:val="20"/>
      <w:szCs w:val="20"/>
      <w:shd w:fill="FFFFCC" w:val="clear"/>
    </w:rPr>
  </w:style>
  <w:style w:type="character" w:styleId="Nivel1Char" w:customStyle="1">
    <w:name w:val="Nivel1 Char"/>
    <w:basedOn w:val="DefaultParagraphFont"/>
    <w:link w:val="Nivel1"/>
    <w:qFormat/>
    <w:locked/>
    <w:rsid w:val="00192fa4"/>
    <w:rPr>
      <w:rFonts w:ascii="Arial" w:hAnsi="Arial" w:eastAsia="" w:cs="Arial" w:eastAsiaTheme="majorEastAsia"/>
      <w:b/>
      <w:color w:val="000000"/>
      <w:sz w:val="32"/>
      <w:szCs w:val="32"/>
    </w:rPr>
  </w:style>
  <w:style w:type="character" w:styleId="Nivel2Char" w:customStyle="1">
    <w:name w:val="Nivel 2 Char"/>
    <w:basedOn w:val="DefaultParagraphFont"/>
    <w:link w:val="Nivel2"/>
    <w:qFormat/>
    <w:locked/>
    <w:rsid w:val="00192fa4"/>
    <w:rPr>
      <w:rFonts w:ascii="Ecofont_Spranq_eco_Sans" w:hAnsi="Ecofont_Spranq_eco_Sans" w:eastAsia="Arial Unicode MS" w:cs="Times New Roman"/>
      <w:sz w:val="20"/>
      <w:szCs w:val="20"/>
      <w:lang w:eastAsia="pt-BR"/>
    </w:rPr>
  </w:style>
  <w:style w:type="character" w:styleId="AssuntodocomentrioChar" w:customStyle="1">
    <w:name w:val="Assunto do comentário Char"/>
    <w:basedOn w:val="TextodecomentrioChar"/>
    <w:link w:val="Assuntodocomentrio"/>
    <w:uiPriority w:val="99"/>
    <w:semiHidden/>
    <w:qFormat/>
    <w:rsid w:val="00fc5048"/>
    <w:rPr>
      <w:b/>
      <w:bCs/>
      <w:sz w:val="20"/>
      <w:szCs w:val="20"/>
    </w:rPr>
  </w:style>
  <w:style w:type="character" w:styleId="LinkdaInternet">
    <w:name w:val="Link da Internet"/>
    <w:basedOn w:val="DefaultParagraphFont"/>
    <w:uiPriority w:val="99"/>
    <w:unhideWhenUsed/>
    <w:rsid w:val="004b3e88"/>
    <w:rPr>
      <w:color w:val="0563C1" w:themeColor="hyperlink"/>
      <w:u w:val="single"/>
    </w:rPr>
  </w:style>
  <w:style w:type="character" w:styleId="MenoPendente1" w:customStyle="1">
    <w:name w:val="Menção Pendente1"/>
    <w:basedOn w:val="DefaultParagraphFont"/>
    <w:uiPriority w:val="99"/>
    <w:semiHidden/>
    <w:unhideWhenUsed/>
    <w:qFormat/>
    <w:rsid w:val="004b3e88"/>
    <w:rPr>
      <w:color w:val="605E5C"/>
      <w:shd w:fill="E1DFDD" w:val="clear"/>
    </w:rPr>
  </w:style>
  <w:style w:type="character" w:styleId="TextodebaloChar" w:customStyle="1">
    <w:name w:val="Texto de balão Char"/>
    <w:basedOn w:val="DefaultParagraphFont"/>
    <w:link w:val="Textodebalo"/>
    <w:uiPriority w:val="99"/>
    <w:semiHidden/>
    <w:qFormat/>
    <w:rsid w:val="007d1c84"/>
    <w:rPr>
      <w:rFonts w:ascii="Segoe UI" w:hAnsi="Segoe UI" w:cs="Segoe UI"/>
      <w:sz w:val="18"/>
      <w:szCs w:val="18"/>
    </w:rPr>
  </w:style>
  <w:style w:type="character" w:styleId="Nvel2OpcionalChar" w:customStyle="1">
    <w:name w:val="Nível 2 Opcional Char"/>
    <w:basedOn w:val="DefaultParagraphFont"/>
    <w:link w:val="Nvel2Opcional"/>
    <w:qFormat/>
    <w:locked/>
    <w:rsid w:val="00921e42"/>
    <w:rPr>
      <w:rFonts w:ascii="Arial" w:hAnsi="Arial" w:cs="Arial"/>
      <w:i/>
      <w:color w:val="FF0000"/>
    </w:rPr>
  </w:style>
  <w:style w:type="character" w:styleId="Nvel3OpcionalChar" w:customStyle="1">
    <w:name w:val="Nível 3 Opcional Char"/>
    <w:basedOn w:val="DefaultParagraphFont"/>
    <w:link w:val="Nvel3Opcional"/>
    <w:qFormat/>
    <w:locked/>
    <w:rsid w:val="00921e42"/>
    <w:rPr>
      <w:rFonts w:ascii="Arial" w:hAnsi="Arial" w:cs="Arial"/>
      <w:i/>
      <w:iCs/>
      <w:color w:val="FF0000"/>
    </w:rPr>
  </w:style>
  <w:style w:type="character" w:styleId="Fontepargpadro">
    <w:name w:val="Fonte parág. padrão"/>
    <w:qFormat/>
    <w:rPr/>
  </w:style>
  <w:style w:type="character" w:styleId="Linkdainternetvisitado">
    <w:name w:val="Link da internet visitado"/>
    <w:rPr>
      <w:color w:val="800080"/>
      <w:u w:val="single"/>
    </w:rPr>
  </w:style>
  <w:style w:type="paragraph" w:styleId="Ttulo">
    <w:name w:val="Título"/>
    <w:basedOn w:val="Normal"/>
    <w:next w:val="Corpodotexto"/>
    <w:qFormat/>
    <w:pPr>
      <w:keepNext w:val="true"/>
      <w:spacing w:before="240" w:after="120"/>
    </w:pPr>
    <w:rPr>
      <w:rFonts w:ascii="Liberation Sans" w:hAnsi="Liberation Sans" w:eastAsia="Microsoft YaHei" w:cs="Arial"/>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uiPriority w:val="34"/>
    <w:qFormat/>
    <w:rsid w:val="009b32a8"/>
    <w:pPr>
      <w:spacing w:before="0" w:after="160"/>
      <w:ind w:left="720" w:hanging="0"/>
      <w:contextualSpacing/>
    </w:pPr>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397ef2"/>
    <w:pPr>
      <w:tabs>
        <w:tab w:val="clear" w:pos="708"/>
        <w:tab w:val="center" w:pos="4252" w:leader="none"/>
        <w:tab w:val="right" w:pos="8504" w:leader="none"/>
      </w:tabs>
      <w:spacing w:lineRule="auto" w:line="240" w:before="0" w:after="0"/>
    </w:pPr>
    <w:rPr/>
  </w:style>
  <w:style w:type="paragraph" w:styleId="Rodap">
    <w:name w:val="Footer"/>
    <w:basedOn w:val="Normal"/>
    <w:link w:val="RodapChar"/>
    <w:uiPriority w:val="99"/>
    <w:unhideWhenUsed/>
    <w:rsid w:val="00397ef2"/>
    <w:pPr>
      <w:tabs>
        <w:tab w:val="clear" w:pos="708"/>
        <w:tab w:val="center" w:pos="4252" w:leader="none"/>
        <w:tab w:val="right" w:pos="8504" w:leader="none"/>
      </w:tabs>
      <w:spacing w:lineRule="auto" w:line="240" w:before="0" w:after="0"/>
    </w:pPr>
    <w:rPr/>
  </w:style>
  <w:style w:type="paragraph" w:styleId="GradeColoridanfase11" w:customStyle="1">
    <w:name w:val="Grade Colorida - Ênfase 11"/>
    <w:basedOn w:val="Normal"/>
    <w:next w:val="Normal"/>
    <w:link w:val="GradeColorida-nfase1Char"/>
    <w:uiPriority w:val="29"/>
    <w:qFormat/>
    <w:rsid w:val="00d96ec9"/>
    <w:pPr>
      <w:pBdr>
        <w:top w:val="single" w:sz="4" w:space="1" w:color="1F497D"/>
        <w:left w:val="single" w:sz="4" w:space="4" w:color="1F497D"/>
        <w:bottom w:val="single" w:sz="4" w:space="1" w:color="1F497D"/>
        <w:right w:val="single" w:sz="4" w:space="4" w:color="1F497D"/>
      </w:pBdr>
      <w:shd w:val="clear" w:color="auto" w:fill="FFFFCC"/>
      <w:spacing w:lineRule="auto" w:line="240" w:before="120" w:after="0"/>
      <w:jc w:val="both"/>
    </w:pPr>
    <w:rPr>
      <w:rFonts w:ascii="Arial" w:hAnsi="Arial" w:eastAsia="Calibri" w:cs="Times New Roman"/>
      <w:i/>
      <w:iCs/>
      <w:color w:val="000000"/>
      <w:sz w:val="20"/>
      <w:szCs w:val="24"/>
      <w:lang w:val="x-none"/>
    </w:rPr>
  </w:style>
  <w:style w:type="paragraph" w:styleId="Nivel01Titulo" w:customStyle="1">
    <w:name w:val="Nivel_01_Titulo"/>
    <w:basedOn w:val="Ttulo1"/>
    <w:next w:val="Normal"/>
    <w:link w:val="Nivel01TituloChar"/>
    <w:qFormat/>
    <w:rsid w:val="00d96ec9"/>
    <w:pPr>
      <w:tabs>
        <w:tab w:val="clear" w:pos="708"/>
        <w:tab w:val="left" w:pos="567" w:leader="none"/>
      </w:tabs>
      <w:spacing w:lineRule="auto" w:line="240"/>
      <w:jc w:val="both"/>
    </w:pPr>
    <w:rPr>
      <w:rFonts w:ascii="Arial" w:hAnsi="Arial" w:cs="Times New Roman"/>
      <w:b/>
      <w:bCs/>
      <w:sz w:val="20"/>
      <w:szCs w:val="20"/>
      <w:lang w:eastAsia="pt-BR"/>
    </w:rPr>
  </w:style>
  <w:style w:type="paragraph" w:styleId="Nivel1" w:customStyle="1">
    <w:name w:val="Nivel1"/>
    <w:basedOn w:val="Ttulo1"/>
    <w:next w:val="Normal"/>
    <w:link w:val="Nivel1Char"/>
    <w:qFormat/>
    <w:rsid w:val="00bd3081"/>
    <w:pPr>
      <w:spacing w:lineRule="auto" w:line="276" w:before="480" w:after="120"/>
      <w:jc w:val="both"/>
    </w:pPr>
    <w:rPr>
      <w:rFonts w:ascii="Arial" w:hAnsi="Arial" w:cs="Arial"/>
      <w:b/>
      <w:color w:val="000000"/>
    </w:rPr>
  </w:style>
  <w:style w:type="paragraph" w:styleId="Annotationtext">
    <w:name w:val="annotation text"/>
    <w:basedOn w:val="Normal"/>
    <w:link w:val="TextodecomentrioChar"/>
    <w:uiPriority w:val="99"/>
    <w:unhideWhenUsed/>
    <w:qFormat/>
    <w:rsid w:val="006e7af1"/>
    <w:pPr>
      <w:spacing w:lineRule="auto" w:line="240"/>
    </w:pPr>
    <w:rPr>
      <w:sz w:val="20"/>
      <w:szCs w:val="20"/>
    </w:rPr>
  </w:style>
  <w:style w:type="paragraph" w:styleId="Quote">
    <w:name w:val="Quote"/>
    <w:basedOn w:val="Normal"/>
    <w:link w:val="CitaoChar"/>
    <w:qFormat/>
    <w:rsid w:val="006e7af1"/>
    <w:pPr>
      <w:keepNext w:val="true"/>
      <w:pBdr>
        <w:top w:val="single" w:sz="4" w:space="0" w:color="1F497D"/>
        <w:left w:val="single" w:sz="4" w:space="0" w:color="1F497D"/>
        <w:bottom w:val="single" w:sz="4" w:space="0" w:color="1F497D"/>
        <w:right w:val="single" w:sz="4" w:space="0" w:color="1F497D"/>
      </w:pBdr>
      <w:shd w:val="clear" w:color="auto" w:fill="FFFFCC"/>
      <w:tabs>
        <w:tab w:val="left" w:pos="708" w:leader="none"/>
      </w:tabs>
      <w:suppressAutoHyphens w:val="true"/>
      <w:overflowPunct w:val="true"/>
      <w:spacing w:lineRule="auto" w:line="240" w:before="120" w:after="0"/>
      <w:jc w:val="both"/>
    </w:pPr>
    <w:rPr>
      <w:rFonts w:ascii="Ecofont_Spranq_eco_Sans" w:hAnsi="Ecofont_Spranq_eco_Sans" w:eastAsia="Calibri" w:cs="Tahoma"/>
      <w:i/>
      <w:iCs/>
      <w:color w:val="000000"/>
      <w:sz w:val="20"/>
      <w:szCs w:val="24"/>
    </w:rPr>
  </w:style>
  <w:style w:type="paragraph" w:styleId="Citao2" w:customStyle="1">
    <w:name w:val="citação 2"/>
    <w:basedOn w:val="Quote"/>
    <w:link w:val="citao2Char"/>
    <w:qFormat/>
    <w:rsid w:val="00791789"/>
    <w:pPr>
      <w:keepNext w:val="false"/>
      <w:pBdr>
        <w:top w:val="single" w:sz="4" w:space="1" w:color="1F497D"/>
        <w:left w:val="single" w:sz="4" w:space="4" w:color="1F497D"/>
        <w:bottom w:val="single" w:sz="4" w:space="1" w:color="1F497D"/>
        <w:right w:val="single" w:sz="4" w:space="4" w:color="1F497D"/>
      </w:pBdr>
      <w:shd w:val="clear" w:fill="FFFFCC"/>
      <w:tabs>
        <w:tab w:val="clear" w:pos="708"/>
      </w:tabs>
      <w:suppressAutoHyphens w:val="false"/>
      <w:overflowPunct w:val="false"/>
    </w:pPr>
    <w:rPr>
      <w:rFonts w:ascii="Arial" w:hAnsi="Arial"/>
      <w:szCs w:val="20"/>
    </w:rPr>
  </w:style>
  <w:style w:type="paragraph" w:styleId="PargrafodaLista1" w:customStyle="1">
    <w:name w:val="Parágrafo da Lista1"/>
    <w:basedOn w:val="Normal"/>
    <w:qFormat/>
    <w:rsid w:val="00192fa4"/>
    <w:pPr>
      <w:spacing w:lineRule="auto" w:line="240" w:before="0" w:after="0"/>
      <w:ind w:left="720" w:hanging="0"/>
    </w:pPr>
    <w:rPr>
      <w:rFonts w:ascii="Ecofont_Spranq_eco_Sans" w:hAnsi="Ecofont_Spranq_eco_Sans" w:eastAsia="Times New Roman" w:cs="Ecofont_Spranq_eco_Sans"/>
      <w:sz w:val="24"/>
      <w:szCs w:val="24"/>
      <w:lang w:eastAsia="pt-BR"/>
    </w:rPr>
  </w:style>
  <w:style w:type="paragraph" w:styleId="Nivel2" w:customStyle="1">
    <w:name w:val="Nivel 2"/>
    <w:link w:val="Nivel2Char"/>
    <w:qFormat/>
    <w:rsid w:val="00192fa4"/>
    <w:pPr>
      <w:widowControl/>
      <w:numPr>
        <w:ilvl w:val="0"/>
        <w:numId w:val="4"/>
      </w:numPr>
      <w:suppressAutoHyphens w:val="true"/>
      <w:bidi w:val="0"/>
      <w:spacing w:lineRule="auto" w:line="276" w:before="120" w:after="120"/>
      <w:jc w:val="both"/>
    </w:pPr>
    <w:rPr>
      <w:rFonts w:ascii="Ecofont_Spranq_eco_Sans" w:hAnsi="Ecofont_Spranq_eco_Sans" w:eastAsia="Arial Unicode MS" w:cs="Times New Roman"/>
      <w:color w:val="auto"/>
      <w:kern w:val="0"/>
      <w:sz w:val="20"/>
      <w:szCs w:val="20"/>
      <w:lang w:val="pt-BR" w:eastAsia="pt-BR" w:bidi="ar-SA"/>
    </w:rPr>
  </w:style>
  <w:style w:type="paragraph" w:styleId="Nivel11" w:customStyle="1">
    <w:name w:val="Nivel 1"/>
    <w:basedOn w:val="Nivel2"/>
    <w:next w:val="Nivel2"/>
    <w:qFormat/>
    <w:rsid w:val="00192fa4"/>
    <w:pPr>
      <w:tabs>
        <w:tab w:val="clear" w:pos="708"/>
        <w:tab w:val="left" w:pos="360" w:leader="none"/>
      </w:tabs>
      <w:ind w:left="644" w:hanging="432"/>
    </w:pPr>
    <w:rPr>
      <w:rFonts w:cs="Arial"/>
      <w:b/>
    </w:rPr>
  </w:style>
  <w:style w:type="paragraph" w:styleId="Nivel3" w:customStyle="1">
    <w:name w:val="Nivel 3"/>
    <w:basedOn w:val="Nivel2"/>
    <w:qFormat/>
    <w:rsid w:val="00192fa4"/>
    <w:pPr>
      <w:tabs>
        <w:tab w:val="clear" w:pos="708"/>
        <w:tab w:val="left" w:pos="360" w:leader="none"/>
      </w:tabs>
      <w:ind w:left="1922" w:hanging="0"/>
    </w:pPr>
    <w:rPr>
      <w:rFonts w:cs="Arial"/>
      <w:color w:val="000000"/>
    </w:rPr>
  </w:style>
  <w:style w:type="paragraph" w:styleId="Nivel4" w:customStyle="1">
    <w:name w:val="Nivel 4"/>
    <w:basedOn w:val="Nivel3"/>
    <w:qFormat/>
    <w:rsid w:val="00192fa4"/>
    <w:pPr>
      <w:ind w:left="2491" w:hanging="0"/>
    </w:pPr>
    <w:rPr>
      <w:color w:val="auto"/>
    </w:rPr>
  </w:style>
  <w:style w:type="paragraph" w:styleId="Nivel5" w:customStyle="1">
    <w:name w:val="Nivel 5"/>
    <w:basedOn w:val="Nivel4"/>
    <w:qFormat/>
    <w:rsid w:val="00192fa4"/>
    <w:pPr>
      <w:ind w:left="3485" w:hanging="0"/>
    </w:pPr>
    <w:rPr/>
  </w:style>
  <w:style w:type="paragraph" w:styleId="Annotationsubject">
    <w:name w:val="annotation subject"/>
    <w:basedOn w:val="Annotationtext"/>
    <w:next w:val="Annotationtext"/>
    <w:link w:val="AssuntodocomentrioChar"/>
    <w:uiPriority w:val="99"/>
    <w:semiHidden/>
    <w:unhideWhenUsed/>
    <w:qFormat/>
    <w:rsid w:val="00fc5048"/>
    <w:pPr/>
    <w:rPr>
      <w:b/>
      <w:bCs/>
    </w:rPr>
  </w:style>
  <w:style w:type="paragraph" w:styleId="BalloonText">
    <w:name w:val="Balloon Text"/>
    <w:basedOn w:val="Normal"/>
    <w:link w:val="TextodebaloChar"/>
    <w:uiPriority w:val="99"/>
    <w:semiHidden/>
    <w:unhideWhenUsed/>
    <w:qFormat/>
    <w:rsid w:val="007d1c84"/>
    <w:pPr>
      <w:spacing w:lineRule="auto" w:line="240" w:before="0" w:after="0"/>
    </w:pPr>
    <w:rPr>
      <w:rFonts w:ascii="Segoe UI" w:hAnsi="Segoe UI" w:cs="Segoe UI"/>
      <w:sz w:val="18"/>
      <w:szCs w:val="18"/>
    </w:rPr>
  </w:style>
  <w:style w:type="paragraph" w:styleId="SombreamentoMdio1nfase31" w:customStyle="1">
    <w:name w:val="Sombreamento Médio 1 - Ênfase 31"/>
    <w:basedOn w:val="Normal"/>
    <w:next w:val="Normal"/>
    <w:qFormat/>
    <w:rsid w:val="00921e42"/>
    <w:pPr>
      <w:pBdr>
        <w:top w:val="single" w:sz="4" w:space="1" w:color="000080"/>
        <w:left w:val="single" w:sz="4" w:space="4" w:color="000080"/>
        <w:bottom w:val="single" w:sz="4" w:space="1" w:color="000080"/>
        <w:right w:val="single" w:sz="4" w:space="4" w:color="000080"/>
      </w:pBdr>
      <w:shd w:val="clear" w:color="auto" w:fill="FFFFCC"/>
      <w:suppressAutoHyphens w:val="true"/>
      <w:spacing w:lineRule="auto" w:line="240" w:before="120" w:after="0"/>
      <w:jc w:val="both"/>
    </w:pPr>
    <w:rPr>
      <w:rFonts w:ascii="Ecofont_Spranq_eco_Sans" w:hAnsi="Ecofont_Spranq_eco_Sans" w:eastAsia="Calibri" w:cs="Tahoma"/>
      <w:i/>
      <w:iCs/>
      <w:color w:val="000000"/>
      <w:sz w:val="20"/>
      <w:szCs w:val="24"/>
      <w:lang w:eastAsia="zh-CN"/>
    </w:rPr>
  </w:style>
  <w:style w:type="paragraph" w:styleId="Nvel2Opcional" w:customStyle="1">
    <w:name w:val="Nível 2 Opcional"/>
    <w:basedOn w:val="Nivel2"/>
    <w:link w:val="Nvel2OpcionalChar"/>
    <w:qFormat/>
    <w:rsid w:val="00921e42"/>
    <w:pPr>
      <w:numPr>
        <w:ilvl w:val="0"/>
        <w:numId w:val="1"/>
      </w:numPr>
      <w:ind w:left="716" w:hanging="432"/>
    </w:pPr>
    <w:rPr>
      <w:rFonts w:ascii="Arial" w:hAnsi="Arial" w:eastAsia="Calibri" w:cs="Arial" w:eastAsiaTheme="minorHAnsi"/>
      <w:i/>
      <w:color w:val="FF0000"/>
      <w:sz w:val="22"/>
      <w:szCs w:val="22"/>
      <w:lang w:eastAsia="en-US"/>
    </w:rPr>
  </w:style>
  <w:style w:type="paragraph" w:styleId="Nvel3Opcional" w:customStyle="1">
    <w:name w:val="Nível 3 Opcional"/>
    <w:basedOn w:val="Nivel3"/>
    <w:link w:val="Nvel3OpcionalChar"/>
    <w:qFormat/>
    <w:rsid w:val="00921e42"/>
    <w:pPr>
      <w:numPr>
        <w:ilvl w:val="0"/>
        <w:numId w:val="1"/>
      </w:numPr>
      <w:ind w:left="567" w:hanging="0"/>
    </w:pPr>
    <w:rPr>
      <w:rFonts w:ascii="Arial" w:hAnsi="Arial" w:eastAsia="Calibri" w:eastAsiaTheme="minorHAnsi"/>
      <w:i/>
      <w:iCs/>
      <w:color w:val="FF0000"/>
      <w:sz w:val="22"/>
      <w:szCs w:val="22"/>
      <w:lang w:eastAsia="en-US"/>
    </w:rPr>
  </w:style>
  <w:style w:type="paragraph" w:styleId="Revision">
    <w:name w:val="Revision"/>
    <w:uiPriority w:val="99"/>
    <w:semiHidden/>
    <w:qFormat/>
    <w:rsid w:val="00d031db"/>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paragraph" w:styleId="Contedodatabela">
    <w:name w:val="Conteúdo da tabela"/>
    <w:basedOn w:val="Normal"/>
    <w:qFormat/>
    <w:pPr>
      <w:suppressLineNumbers/>
    </w:pPr>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9b32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yperlink" Target="https://sag.eb.mil.br/php/documentos.php" TargetMode="External"/><Relationship Id="rId4" Type="http://schemas.openxmlformats.org/officeDocument/2006/relationships/footer" Target="footer1.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Relationship Id="rId9" Type="http://schemas.openxmlformats.org/officeDocument/2006/relationships/customXml" Target="../customXml/item1.xml"/><Relationship Id="rId10" Type="http://schemas.openxmlformats.org/officeDocument/2006/relationships/customXml" Target="../customXml/item2.xml"/><Relationship Id="rId11" Type="http://schemas.openxmlformats.org/officeDocument/2006/relationships/customXml" Target="../customXml/item3.xml"/>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A2765E7DFD38469B2E626874CD0041" ma:contentTypeVersion="8" ma:contentTypeDescription="Create a new document." ma:contentTypeScope="" ma:versionID="37762aade61970cea1f26aae188e6c54">
  <xsd:schema xmlns:xsd="http://www.w3.org/2001/XMLSchema" xmlns:xs="http://www.w3.org/2001/XMLSchema" xmlns:p="http://schemas.microsoft.com/office/2006/metadata/properties" xmlns:ns2="52c93ea8-e2de-466c-b401-d7fabeb9490e" targetNamespace="http://schemas.microsoft.com/office/2006/metadata/properties" ma:root="true" ma:fieldsID="5b255f0827b1b01c62b300cf1fb7085a" ns2:_="">
    <xsd:import namespace="52c93ea8-e2de-466c-b401-d7fabeb9490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349C7B-D91D-4C74-8E00-0AB362F35E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2F6229-F8D2-402A-AFAD-1FB257056C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587B08-AF6B-4E57-8DCB-DB2F9D7D48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Application>LibreOffice/7.1.0.3$Windows_X86_64 LibreOffice_project/f6099ecf3d29644b5008cc8f48f42f4a40986e4c</Application>
  <AppVersion>15.0000</AppVersion>
  <Pages>12</Pages>
  <Words>4549</Words>
  <Characters>25925</Characters>
  <CharactersWithSpaces>30165</CharactersWithSpaces>
  <Paragraphs>208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2022-07-14T22:11:00Z</dcterms:created>
  <dc:creator>Hugo Sales</dc:creator>
  <dc:description/>
  <dc:language>pt-BR</dc:language>
  <cp:lastModifiedBy/>
  <dcterms:modified xsi:type="dcterms:W3CDTF">2022-12-16T09:44:16Z</dcterms:modified>
  <cp:revision>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